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1F304" w14:textId="77777777" w:rsidR="00FC0E7F" w:rsidRPr="00FC0E7F" w:rsidRDefault="00FC0E7F" w:rsidP="00C44925">
      <w:pPr>
        <w:pStyle w:val="Title"/>
        <w:pBdr>
          <w:bottom w:val="single" w:sz="8" w:space="5" w:color="4F81BD" w:themeColor="accent1"/>
        </w:pBdr>
        <w:spacing w:after="120"/>
        <w:rPr>
          <w:sz w:val="12"/>
          <w:szCs w:val="12"/>
        </w:rPr>
      </w:pPr>
    </w:p>
    <w:p w14:paraId="761960DF" w14:textId="77777777" w:rsidR="00FF0501" w:rsidRDefault="00FF0501" w:rsidP="00195016">
      <w:pPr>
        <w:pStyle w:val="Title"/>
        <w:pBdr>
          <w:bottom w:val="single" w:sz="8" w:space="5" w:color="4F81BD" w:themeColor="accent1"/>
        </w:pBdr>
        <w:spacing w:after="120"/>
        <w:rPr>
          <w:sz w:val="36"/>
          <w:szCs w:val="36"/>
        </w:rPr>
      </w:pPr>
      <w:r>
        <w:rPr>
          <w:noProof/>
          <w:sz w:val="36"/>
          <w:szCs w:val="36"/>
        </w:rPr>
        <w:drawing>
          <wp:anchor distT="0" distB="0" distL="114300" distR="114300" simplePos="0" relativeHeight="251658240" behindDoc="0" locked="0" layoutInCell="1" allowOverlap="1" wp14:anchorId="3952B904" wp14:editId="396DC091">
            <wp:simplePos x="0" y="0"/>
            <wp:positionH relativeFrom="column">
              <wp:posOffset>-114300</wp:posOffset>
            </wp:positionH>
            <wp:positionV relativeFrom="paragraph">
              <wp:posOffset>6985</wp:posOffset>
            </wp:positionV>
            <wp:extent cx="1713230" cy="607060"/>
            <wp:effectExtent l="0" t="0" r="0" b="2540"/>
            <wp:wrapThrough wrapText="bothSides">
              <wp:wrapPolygon edited="0">
                <wp:start x="1601" y="0"/>
                <wp:lineTo x="0" y="2711"/>
                <wp:lineTo x="0" y="20787"/>
                <wp:lineTo x="6405" y="20787"/>
                <wp:lineTo x="14731" y="18075"/>
                <wp:lineTo x="14731" y="14460"/>
                <wp:lineTo x="21136" y="14460"/>
                <wp:lineTo x="21136" y="6326"/>
                <wp:lineTo x="4804" y="0"/>
                <wp:lineTo x="160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9">
                      <a:extLst>
                        <a:ext uri="{28A0092B-C50C-407E-A947-70E740481C1C}">
                          <a14:useLocalDpi xmlns:a14="http://schemas.microsoft.com/office/drawing/2010/main" val="0"/>
                        </a:ext>
                      </a:extLst>
                    </a:blip>
                    <a:stretch>
                      <a:fillRect/>
                    </a:stretch>
                  </pic:blipFill>
                  <pic:spPr>
                    <a:xfrm>
                      <a:off x="0" y="0"/>
                      <a:ext cx="1713230" cy="607060"/>
                    </a:xfrm>
                    <a:prstGeom prst="rect">
                      <a:avLst/>
                    </a:prstGeom>
                  </pic:spPr>
                </pic:pic>
              </a:graphicData>
            </a:graphic>
            <wp14:sizeRelH relativeFrom="page">
              <wp14:pctWidth>0</wp14:pctWidth>
            </wp14:sizeRelH>
            <wp14:sizeRelV relativeFrom="page">
              <wp14:pctHeight>0</wp14:pctHeight>
            </wp14:sizeRelV>
          </wp:anchor>
        </w:drawing>
      </w:r>
    </w:p>
    <w:p w14:paraId="26C8A2DD" w14:textId="46A63FE6" w:rsidR="00D44B26" w:rsidRPr="007900BC" w:rsidRDefault="00195016" w:rsidP="00195016">
      <w:pPr>
        <w:pStyle w:val="Title"/>
        <w:pBdr>
          <w:bottom w:val="single" w:sz="8" w:space="5" w:color="4F81BD" w:themeColor="accent1"/>
        </w:pBdr>
        <w:spacing w:after="120"/>
        <w:rPr>
          <w:sz w:val="36"/>
          <w:szCs w:val="36"/>
        </w:rPr>
      </w:pPr>
      <w:r>
        <w:rPr>
          <w:sz w:val="36"/>
          <w:szCs w:val="36"/>
        </w:rPr>
        <w:t>E</w:t>
      </w:r>
      <w:r w:rsidR="00FF0501">
        <w:rPr>
          <w:sz w:val="36"/>
          <w:szCs w:val="36"/>
        </w:rPr>
        <w:t xml:space="preserve">nvironmental </w:t>
      </w:r>
      <w:r>
        <w:rPr>
          <w:sz w:val="36"/>
          <w:szCs w:val="36"/>
        </w:rPr>
        <w:t>Q</w:t>
      </w:r>
      <w:r w:rsidR="00FF0501">
        <w:rPr>
          <w:sz w:val="36"/>
          <w:szCs w:val="36"/>
        </w:rPr>
        <w:t>uality</w:t>
      </w:r>
      <w:r>
        <w:rPr>
          <w:sz w:val="36"/>
          <w:szCs w:val="36"/>
        </w:rPr>
        <w:t xml:space="preserve"> Budget Requests</w:t>
      </w:r>
    </w:p>
    <w:tbl>
      <w:tblPr>
        <w:tblStyle w:val="TableGrid"/>
        <w:tblW w:w="10530" w:type="dxa"/>
        <w:jc w:val="center"/>
        <w:tblInd w:w="-252" w:type="dxa"/>
        <w:tblLayout w:type="fixed"/>
        <w:tblLook w:val="04A0" w:firstRow="1" w:lastRow="0" w:firstColumn="1" w:lastColumn="0" w:noHBand="0" w:noVBand="1"/>
      </w:tblPr>
      <w:tblGrid>
        <w:gridCol w:w="2250"/>
        <w:gridCol w:w="2340"/>
        <w:gridCol w:w="2340"/>
        <w:gridCol w:w="1440"/>
        <w:gridCol w:w="1080"/>
        <w:gridCol w:w="1080"/>
      </w:tblGrid>
      <w:tr w:rsidR="002668F3" w14:paraId="3BF5A6FB" w14:textId="77777777" w:rsidTr="00C44925">
        <w:trPr>
          <w:jc w:val="center"/>
        </w:trPr>
        <w:tc>
          <w:tcPr>
            <w:tcW w:w="10530" w:type="dxa"/>
            <w:gridSpan w:val="6"/>
            <w:shd w:val="clear" w:color="auto" w:fill="D9D9D9" w:themeFill="background1" w:themeFillShade="D9"/>
          </w:tcPr>
          <w:p w14:paraId="7A1CBFC3" w14:textId="526CA307" w:rsidR="002668F3" w:rsidRPr="00B47D89" w:rsidRDefault="002668F3" w:rsidP="00C44925">
            <w:pPr>
              <w:jc w:val="center"/>
              <w:rPr>
                <w:b/>
                <w:sz w:val="20"/>
                <w:szCs w:val="20"/>
              </w:rPr>
            </w:pPr>
            <w:r w:rsidRPr="00B47D89">
              <w:rPr>
                <w:b/>
                <w:sz w:val="20"/>
                <w:szCs w:val="20"/>
              </w:rPr>
              <w:t>Department of Environmental Quality Business Case Requests</w:t>
            </w:r>
          </w:p>
        </w:tc>
      </w:tr>
      <w:tr w:rsidR="002668F3" w14:paraId="2408EAC0" w14:textId="77777777" w:rsidTr="00C44925">
        <w:trPr>
          <w:trHeight w:val="278"/>
          <w:jc w:val="center"/>
        </w:trPr>
        <w:tc>
          <w:tcPr>
            <w:tcW w:w="2250" w:type="dxa"/>
          </w:tcPr>
          <w:p w14:paraId="54BF074F" w14:textId="77777777" w:rsidR="002668F3" w:rsidRPr="00B47D89" w:rsidRDefault="002668F3" w:rsidP="00B034BB">
            <w:pPr>
              <w:rPr>
                <w:b/>
                <w:sz w:val="20"/>
                <w:szCs w:val="20"/>
              </w:rPr>
            </w:pPr>
            <w:r w:rsidRPr="00B47D89">
              <w:rPr>
                <w:b/>
                <w:sz w:val="20"/>
                <w:szCs w:val="20"/>
              </w:rPr>
              <w:t>Division</w:t>
            </w:r>
          </w:p>
        </w:tc>
        <w:tc>
          <w:tcPr>
            <w:tcW w:w="2340" w:type="dxa"/>
          </w:tcPr>
          <w:p w14:paraId="3F8844C1" w14:textId="77777777" w:rsidR="002668F3" w:rsidRPr="00B47D89" w:rsidRDefault="002668F3" w:rsidP="00B034BB">
            <w:pPr>
              <w:rPr>
                <w:b/>
                <w:sz w:val="20"/>
                <w:szCs w:val="20"/>
              </w:rPr>
            </w:pPr>
            <w:r w:rsidRPr="00B47D89">
              <w:rPr>
                <w:b/>
                <w:sz w:val="20"/>
                <w:szCs w:val="20"/>
              </w:rPr>
              <w:t>Description</w:t>
            </w:r>
          </w:p>
        </w:tc>
        <w:tc>
          <w:tcPr>
            <w:tcW w:w="2340" w:type="dxa"/>
          </w:tcPr>
          <w:p w14:paraId="69C27EE5" w14:textId="77777777" w:rsidR="002668F3" w:rsidRPr="00B47D89" w:rsidRDefault="002668F3" w:rsidP="00B034BB">
            <w:pPr>
              <w:rPr>
                <w:b/>
                <w:sz w:val="20"/>
                <w:szCs w:val="20"/>
              </w:rPr>
            </w:pPr>
            <w:r w:rsidRPr="00B47D89">
              <w:rPr>
                <w:b/>
                <w:sz w:val="20"/>
                <w:szCs w:val="20"/>
              </w:rPr>
              <w:t>Funding Source</w:t>
            </w:r>
          </w:p>
        </w:tc>
        <w:tc>
          <w:tcPr>
            <w:tcW w:w="1440" w:type="dxa"/>
          </w:tcPr>
          <w:p w14:paraId="2B719CDF" w14:textId="31FF30AE" w:rsidR="002668F3" w:rsidRPr="00B47D89" w:rsidRDefault="002668F3" w:rsidP="00EA1C7B">
            <w:pPr>
              <w:rPr>
                <w:b/>
                <w:sz w:val="20"/>
                <w:szCs w:val="20"/>
              </w:rPr>
            </w:pPr>
            <w:r>
              <w:rPr>
                <w:b/>
                <w:sz w:val="20"/>
                <w:szCs w:val="20"/>
              </w:rPr>
              <w:t>Supplemental</w:t>
            </w:r>
          </w:p>
        </w:tc>
        <w:tc>
          <w:tcPr>
            <w:tcW w:w="1080" w:type="dxa"/>
          </w:tcPr>
          <w:p w14:paraId="658B0EC6" w14:textId="08F49E82" w:rsidR="002668F3" w:rsidRPr="00B47D89" w:rsidRDefault="002668F3" w:rsidP="00EA1C7B">
            <w:pPr>
              <w:rPr>
                <w:b/>
                <w:sz w:val="20"/>
                <w:szCs w:val="20"/>
              </w:rPr>
            </w:pPr>
            <w:r w:rsidRPr="00B47D89">
              <w:rPr>
                <w:b/>
                <w:sz w:val="20"/>
                <w:szCs w:val="20"/>
              </w:rPr>
              <w:t>One-Time</w:t>
            </w:r>
          </w:p>
        </w:tc>
        <w:tc>
          <w:tcPr>
            <w:tcW w:w="1080" w:type="dxa"/>
          </w:tcPr>
          <w:p w14:paraId="22C2BE3D" w14:textId="77777777" w:rsidR="002668F3" w:rsidRPr="00B47D89" w:rsidRDefault="002668F3" w:rsidP="00B034BB">
            <w:pPr>
              <w:rPr>
                <w:b/>
                <w:sz w:val="20"/>
                <w:szCs w:val="20"/>
              </w:rPr>
            </w:pPr>
            <w:r w:rsidRPr="00B47D89">
              <w:rPr>
                <w:b/>
                <w:sz w:val="20"/>
                <w:szCs w:val="20"/>
              </w:rPr>
              <w:t>Ongoing</w:t>
            </w:r>
          </w:p>
        </w:tc>
      </w:tr>
      <w:tr w:rsidR="002668F3" w14:paraId="23A9BD04" w14:textId="77777777" w:rsidTr="00C44925">
        <w:trPr>
          <w:trHeight w:val="278"/>
          <w:jc w:val="center"/>
        </w:trPr>
        <w:tc>
          <w:tcPr>
            <w:tcW w:w="2250" w:type="dxa"/>
          </w:tcPr>
          <w:p w14:paraId="673C0D50" w14:textId="6FE56135" w:rsidR="002668F3" w:rsidRPr="00B47D89" w:rsidRDefault="002668F3" w:rsidP="00B034BB">
            <w:pPr>
              <w:rPr>
                <w:b/>
                <w:sz w:val="20"/>
                <w:szCs w:val="20"/>
              </w:rPr>
            </w:pPr>
            <w:r w:rsidRPr="00B47D89">
              <w:rPr>
                <w:sz w:val="20"/>
                <w:szCs w:val="20"/>
              </w:rPr>
              <w:t>Water Quality</w:t>
            </w:r>
          </w:p>
        </w:tc>
        <w:tc>
          <w:tcPr>
            <w:tcW w:w="2340" w:type="dxa"/>
          </w:tcPr>
          <w:p w14:paraId="05D7B0F3" w14:textId="4DCF15CE" w:rsidR="002668F3" w:rsidRPr="00B47D89" w:rsidRDefault="002668F3" w:rsidP="00B034BB">
            <w:pPr>
              <w:rPr>
                <w:b/>
                <w:sz w:val="20"/>
                <w:szCs w:val="20"/>
              </w:rPr>
            </w:pPr>
            <w:r w:rsidRPr="00B47D89">
              <w:rPr>
                <w:sz w:val="20"/>
                <w:szCs w:val="20"/>
              </w:rPr>
              <w:t>Harmful Algal Bloom Fund</w:t>
            </w:r>
          </w:p>
        </w:tc>
        <w:tc>
          <w:tcPr>
            <w:tcW w:w="2340" w:type="dxa"/>
          </w:tcPr>
          <w:p w14:paraId="3EAC098F" w14:textId="1C845AE0" w:rsidR="002668F3" w:rsidRPr="00B47D89" w:rsidRDefault="002668F3" w:rsidP="00B034BB">
            <w:pPr>
              <w:rPr>
                <w:b/>
                <w:sz w:val="20"/>
                <w:szCs w:val="20"/>
              </w:rPr>
            </w:pPr>
            <w:r w:rsidRPr="00B47D89">
              <w:rPr>
                <w:sz w:val="20"/>
                <w:szCs w:val="20"/>
              </w:rPr>
              <w:t>General Fund</w:t>
            </w:r>
          </w:p>
        </w:tc>
        <w:tc>
          <w:tcPr>
            <w:tcW w:w="1440" w:type="dxa"/>
          </w:tcPr>
          <w:p w14:paraId="37124849" w14:textId="615BDF06" w:rsidR="002668F3" w:rsidRDefault="00C44925" w:rsidP="00C44925">
            <w:pPr>
              <w:jc w:val="right"/>
              <w:rPr>
                <w:sz w:val="20"/>
                <w:szCs w:val="20"/>
              </w:rPr>
            </w:pPr>
            <w:r>
              <w:rPr>
                <w:sz w:val="20"/>
                <w:szCs w:val="20"/>
              </w:rPr>
              <w:t>$126,200</w:t>
            </w:r>
          </w:p>
        </w:tc>
        <w:tc>
          <w:tcPr>
            <w:tcW w:w="1080" w:type="dxa"/>
          </w:tcPr>
          <w:p w14:paraId="68F77E06" w14:textId="409BE0F7" w:rsidR="002668F3" w:rsidRPr="00B47D89" w:rsidRDefault="002668F3" w:rsidP="00C44925">
            <w:pPr>
              <w:jc w:val="right"/>
              <w:rPr>
                <w:b/>
                <w:sz w:val="20"/>
                <w:szCs w:val="20"/>
              </w:rPr>
            </w:pPr>
            <w:r>
              <w:rPr>
                <w:sz w:val="20"/>
                <w:szCs w:val="20"/>
              </w:rPr>
              <w:t>$178,500</w:t>
            </w:r>
          </w:p>
        </w:tc>
        <w:tc>
          <w:tcPr>
            <w:tcW w:w="1080" w:type="dxa"/>
          </w:tcPr>
          <w:p w14:paraId="79AAAC87" w14:textId="77777777" w:rsidR="002668F3" w:rsidRPr="00B47D89" w:rsidRDefault="002668F3" w:rsidP="00C44925">
            <w:pPr>
              <w:jc w:val="right"/>
              <w:rPr>
                <w:b/>
                <w:sz w:val="20"/>
                <w:szCs w:val="20"/>
              </w:rPr>
            </w:pPr>
          </w:p>
        </w:tc>
      </w:tr>
      <w:tr w:rsidR="002668F3" w14:paraId="11A37846" w14:textId="77777777" w:rsidTr="00C44925">
        <w:trPr>
          <w:jc w:val="center"/>
        </w:trPr>
        <w:tc>
          <w:tcPr>
            <w:tcW w:w="2250" w:type="dxa"/>
          </w:tcPr>
          <w:p w14:paraId="05229142" w14:textId="77777777" w:rsidR="002668F3" w:rsidRPr="00B47D89" w:rsidRDefault="002668F3" w:rsidP="00B034BB">
            <w:pPr>
              <w:rPr>
                <w:sz w:val="20"/>
                <w:szCs w:val="20"/>
              </w:rPr>
            </w:pPr>
            <w:r w:rsidRPr="00B47D89">
              <w:rPr>
                <w:sz w:val="20"/>
                <w:szCs w:val="20"/>
              </w:rPr>
              <w:t>Air Quality</w:t>
            </w:r>
          </w:p>
        </w:tc>
        <w:tc>
          <w:tcPr>
            <w:tcW w:w="2340" w:type="dxa"/>
          </w:tcPr>
          <w:p w14:paraId="1A2B4BB9" w14:textId="629FBCB1" w:rsidR="002668F3" w:rsidRPr="00B47D89" w:rsidRDefault="002668F3" w:rsidP="00230C2C">
            <w:pPr>
              <w:rPr>
                <w:sz w:val="20"/>
                <w:szCs w:val="20"/>
              </w:rPr>
            </w:pPr>
            <w:r>
              <w:rPr>
                <w:sz w:val="20"/>
                <w:szCs w:val="20"/>
              </w:rPr>
              <w:t>Science for Solutions</w:t>
            </w:r>
          </w:p>
        </w:tc>
        <w:tc>
          <w:tcPr>
            <w:tcW w:w="2340" w:type="dxa"/>
          </w:tcPr>
          <w:p w14:paraId="0A04BB45" w14:textId="77777777" w:rsidR="002668F3" w:rsidRPr="00B47D89" w:rsidRDefault="002668F3" w:rsidP="00230C2C">
            <w:pPr>
              <w:rPr>
                <w:sz w:val="20"/>
                <w:szCs w:val="20"/>
              </w:rPr>
            </w:pPr>
            <w:r w:rsidRPr="00B47D89">
              <w:rPr>
                <w:sz w:val="20"/>
                <w:szCs w:val="20"/>
              </w:rPr>
              <w:t>General Fund</w:t>
            </w:r>
          </w:p>
        </w:tc>
        <w:tc>
          <w:tcPr>
            <w:tcW w:w="1440" w:type="dxa"/>
          </w:tcPr>
          <w:p w14:paraId="6DDED4DE" w14:textId="77777777" w:rsidR="002668F3" w:rsidRPr="00B47D89" w:rsidRDefault="002668F3" w:rsidP="00C44925">
            <w:pPr>
              <w:jc w:val="right"/>
              <w:rPr>
                <w:sz w:val="20"/>
                <w:szCs w:val="20"/>
              </w:rPr>
            </w:pPr>
          </w:p>
        </w:tc>
        <w:tc>
          <w:tcPr>
            <w:tcW w:w="1080" w:type="dxa"/>
          </w:tcPr>
          <w:p w14:paraId="72910F58" w14:textId="536BE937" w:rsidR="002668F3" w:rsidRPr="00B47D89" w:rsidRDefault="002668F3" w:rsidP="00C44925">
            <w:pPr>
              <w:jc w:val="right"/>
              <w:rPr>
                <w:sz w:val="20"/>
                <w:szCs w:val="20"/>
              </w:rPr>
            </w:pPr>
          </w:p>
        </w:tc>
        <w:tc>
          <w:tcPr>
            <w:tcW w:w="1080" w:type="dxa"/>
          </w:tcPr>
          <w:p w14:paraId="42069589" w14:textId="74B0D1E6" w:rsidR="002668F3" w:rsidRPr="00B47D89" w:rsidRDefault="002668F3" w:rsidP="00C44925">
            <w:pPr>
              <w:jc w:val="right"/>
              <w:rPr>
                <w:sz w:val="20"/>
                <w:szCs w:val="20"/>
              </w:rPr>
            </w:pPr>
            <w:r>
              <w:rPr>
                <w:sz w:val="20"/>
                <w:szCs w:val="20"/>
              </w:rPr>
              <w:t>$500,000</w:t>
            </w:r>
          </w:p>
        </w:tc>
      </w:tr>
      <w:tr w:rsidR="002668F3" w14:paraId="6D52C818" w14:textId="77777777" w:rsidTr="00C44925">
        <w:trPr>
          <w:jc w:val="center"/>
        </w:trPr>
        <w:tc>
          <w:tcPr>
            <w:tcW w:w="2250" w:type="dxa"/>
          </w:tcPr>
          <w:p w14:paraId="4749BE31" w14:textId="77777777" w:rsidR="002668F3" w:rsidRPr="00B47D89" w:rsidRDefault="002668F3" w:rsidP="00B034BB">
            <w:pPr>
              <w:rPr>
                <w:sz w:val="20"/>
                <w:szCs w:val="20"/>
              </w:rPr>
            </w:pPr>
            <w:r w:rsidRPr="00B47D89">
              <w:rPr>
                <w:sz w:val="20"/>
                <w:szCs w:val="20"/>
              </w:rPr>
              <w:t>Air Quality</w:t>
            </w:r>
          </w:p>
        </w:tc>
        <w:tc>
          <w:tcPr>
            <w:tcW w:w="2340" w:type="dxa"/>
          </w:tcPr>
          <w:p w14:paraId="73123072" w14:textId="0CEE69C7" w:rsidR="002668F3" w:rsidRPr="00B47D89" w:rsidRDefault="00C44925" w:rsidP="00230C2C">
            <w:pPr>
              <w:rPr>
                <w:sz w:val="20"/>
                <w:szCs w:val="20"/>
              </w:rPr>
            </w:pPr>
            <w:r>
              <w:rPr>
                <w:sz w:val="20"/>
                <w:szCs w:val="20"/>
              </w:rPr>
              <w:t>FTE-Stack Testing</w:t>
            </w:r>
          </w:p>
        </w:tc>
        <w:tc>
          <w:tcPr>
            <w:tcW w:w="2340" w:type="dxa"/>
          </w:tcPr>
          <w:p w14:paraId="1BD96CAB" w14:textId="77777777" w:rsidR="002668F3" w:rsidRPr="00B47D89" w:rsidRDefault="002668F3" w:rsidP="00230C2C">
            <w:pPr>
              <w:rPr>
                <w:sz w:val="20"/>
                <w:szCs w:val="20"/>
              </w:rPr>
            </w:pPr>
            <w:r w:rsidRPr="00B47D89">
              <w:rPr>
                <w:sz w:val="20"/>
                <w:szCs w:val="20"/>
              </w:rPr>
              <w:t>General Fund</w:t>
            </w:r>
          </w:p>
        </w:tc>
        <w:tc>
          <w:tcPr>
            <w:tcW w:w="1440" w:type="dxa"/>
          </w:tcPr>
          <w:p w14:paraId="4C169EBC" w14:textId="77777777" w:rsidR="002668F3" w:rsidRPr="00B47D89" w:rsidRDefault="002668F3" w:rsidP="00C44925">
            <w:pPr>
              <w:jc w:val="right"/>
              <w:rPr>
                <w:sz w:val="20"/>
                <w:szCs w:val="20"/>
              </w:rPr>
            </w:pPr>
          </w:p>
        </w:tc>
        <w:tc>
          <w:tcPr>
            <w:tcW w:w="1080" w:type="dxa"/>
          </w:tcPr>
          <w:p w14:paraId="7F2A9B48" w14:textId="354658D8" w:rsidR="002668F3" w:rsidRPr="00B47D89" w:rsidRDefault="002668F3" w:rsidP="00C44925">
            <w:pPr>
              <w:jc w:val="right"/>
              <w:rPr>
                <w:sz w:val="20"/>
                <w:szCs w:val="20"/>
              </w:rPr>
            </w:pPr>
          </w:p>
        </w:tc>
        <w:tc>
          <w:tcPr>
            <w:tcW w:w="1080" w:type="dxa"/>
          </w:tcPr>
          <w:p w14:paraId="20941E15" w14:textId="66CB1961" w:rsidR="002668F3" w:rsidRPr="00B47D89" w:rsidRDefault="00C44925" w:rsidP="00C44925">
            <w:pPr>
              <w:jc w:val="right"/>
              <w:rPr>
                <w:sz w:val="20"/>
                <w:szCs w:val="20"/>
              </w:rPr>
            </w:pPr>
            <w:r>
              <w:rPr>
                <w:sz w:val="20"/>
                <w:szCs w:val="20"/>
              </w:rPr>
              <w:t>$118,700</w:t>
            </w:r>
          </w:p>
        </w:tc>
      </w:tr>
      <w:tr w:rsidR="002668F3" w14:paraId="20334307" w14:textId="77777777" w:rsidTr="00C44925">
        <w:trPr>
          <w:jc w:val="center"/>
        </w:trPr>
        <w:tc>
          <w:tcPr>
            <w:tcW w:w="2250" w:type="dxa"/>
          </w:tcPr>
          <w:p w14:paraId="1BD330F7" w14:textId="5F46EE2C" w:rsidR="002668F3" w:rsidRPr="00B47D89" w:rsidRDefault="00C44925" w:rsidP="006D1223">
            <w:pPr>
              <w:rPr>
                <w:sz w:val="20"/>
                <w:szCs w:val="20"/>
              </w:rPr>
            </w:pPr>
            <w:r>
              <w:rPr>
                <w:sz w:val="20"/>
                <w:szCs w:val="20"/>
              </w:rPr>
              <w:t>Air Quality</w:t>
            </w:r>
          </w:p>
        </w:tc>
        <w:tc>
          <w:tcPr>
            <w:tcW w:w="2340" w:type="dxa"/>
          </w:tcPr>
          <w:p w14:paraId="100A2B1B" w14:textId="42031FF9" w:rsidR="002668F3" w:rsidRPr="00B47D89" w:rsidRDefault="00C44925" w:rsidP="006D1223">
            <w:pPr>
              <w:rPr>
                <w:sz w:val="20"/>
                <w:szCs w:val="20"/>
              </w:rPr>
            </w:pPr>
            <w:r>
              <w:rPr>
                <w:sz w:val="20"/>
                <w:szCs w:val="20"/>
              </w:rPr>
              <w:t>FTE-SIP Planning</w:t>
            </w:r>
          </w:p>
        </w:tc>
        <w:tc>
          <w:tcPr>
            <w:tcW w:w="2340" w:type="dxa"/>
          </w:tcPr>
          <w:p w14:paraId="71246733" w14:textId="0A7ABA4B" w:rsidR="002668F3" w:rsidRPr="00B47D89" w:rsidRDefault="00C44925" w:rsidP="006D1223">
            <w:pPr>
              <w:rPr>
                <w:sz w:val="20"/>
                <w:szCs w:val="20"/>
              </w:rPr>
            </w:pPr>
            <w:r>
              <w:rPr>
                <w:sz w:val="20"/>
                <w:szCs w:val="20"/>
              </w:rPr>
              <w:t>General Fund</w:t>
            </w:r>
          </w:p>
        </w:tc>
        <w:tc>
          <w:tcPr>
            <w:tcW w:w="1440" w:type="dxa"/>
          </w:tcPr>
          <w:p w14:paraId="62596B7B" w14:textId="77777777" w:rsidR="002668F3" w:rsidRPr="00B47D89" w:rsidRDefault="002668F3" w:rsidP="00C44925">
            <w:pPr>
              <w:jc w:val="right"/>
              <w:rPr>
                <w:sz w:val="20"/>
                <w:szCs w:val="20"/>
              </w:rPr>
            </w:pPr>
          </w:p>
        </w:tc>
        <w:tc>
          <w:tcPr>
            <w:tcW w:w="1080" w:type="dxa"/>
          </w:tcPr>
          <w:p w14:paraId="1C97F8CE" w14:textId="1AD46CAA" w:rsidR="002668F3" w:rsidRPr="00B47D89" w:rsidRDefault="002668F3" w:rsidP="00C44925">
            <w:pPr>
              <w:jc w:val="right"/>
              <w:rPr>
                <w:sz w:val="20"/>
                <w:szCs w:val="20"/>
              </w:rPr>
            </w:pPr>
          </w:p>
        </w:tc>
        <w:tc>
          <w:tcPr>
            <w:tcW w:w="1080" w:type="dxa"/>
          </w:tcPr>
          <w:p w14:paraId="0D30B242" w14:textId="18997FF3" w:rsidR="002668F3" w:rsidRPr="00B47D89" w:rsidRDefault="00C44925" w:rsidP="00C44925">
            <w:pPr>
              <w:jc w:val="right"/>
              <w:rPr>
                <w:sz w:val="20"/>
                <w:szCs w:val="20"/>
              </w:rPr>
            </w:pPr>
            <w:r>
              <w:rPr>
                <w:sz w:val="20"/>
                <w:szCs w:val="20"/>
              </w:rPr>
              <w:t>$118,700</w:t>
            </w:r>
          </w:p>
        </w:tc>
      </w:tr>
      <w:tr w:rsidR="002668F3" w14:paraId="3160054B" w14:textId="77777777" w:rsidTr="00C44925">
        <w:trPr>
          <w:jc w:val="center"/>
        </w:trPr>
        <w:tc>
          <w:tcPr>
            <w:tcW w:w="2250" w:type="dxa"/>
          </w:tcPr>
          <w:p w14:paraId="5F66242A" w14:textId="3F2BE6A0" w:rsidR="002668F3" w:rsidRPr="00B47D89" w:rsidRDefault="00C44925" w:rsidP="006D1223">
            <w:pPr>
              <w:rPr>
                <w:sz w:val="20"/>
                <w:szCs w:val="20"/>
              </w:rPr>
            </w:pPr>
            <w:r>
              <w:rPr>
                <w:sz w:val="20"/>
                <w:szCs w:val="20"/>
              </w:rPr>
              <w:t>Air Quality</w:t>
            </w:r>
          </w:p>
        </w:tc>
        <w:tc>
          <w:tcPr>
            <w:tcW w:w="2340" w:type="dxa"/>
          </w:tcPr>
          <w:p w14:paraId="6C865498" w14:textId="1246D26B" w:rsidR="002668F3" w:rsidRPr="00B47D89" w:rsidRDefault="00C44925" w:rsidP="006D1223">
            <w:pPr>
              <w:rPr>
                <w:sz w:val="20"/>
                <w:szCs w:val="20"/>
              </w:rPr>
            </w:pPr>
            <w:r>
              <w:rPr>
                <w:sz w:val="20"/>
                <w:szCs w:val="20"/>
              </w:rPr>
              <w:t>FTE-Technical Analysis</w:t>
            </w:r>
          </w:p>
        </w:tc>
        <w:tc>
          <w:tcPr>
            <w:tcW w:w="2340" w:type="dxa"/>
          </w:tcPr>
          <w:p w14:paraId="7868364A" w14:textId="1F45010F" w:rsidR="002668F3" w:rsidRPr="00B47D89" w:rsidRDefault="00C44925" w:rsidP="006D1223">
            <w:pPr>
              <w:rPr>
                <w:sz w:val="20"/>
                <w:szCs w:val="20"/>
              </w:rPr>
            </w:pPr>
            <w:r>
              <w:rPr>
                <w:sz w:val="20"/>
                <w:szCs w:val="20"/>
              </w:rPr>
              <w:t>General Fund</w:t>
            </w:r>
          </w:p>
        </w:tc>
        <w:tc>
          <w:tcPr>
            <w:tcW w:w="1440" w:type="dxa"/>
          </w:tcPr>
          <w:p w14:paraId="2CBDE1B4" w14:textId="77777777" w:rsidR="002668F3" w:rsidRPr="00B47D89" w:rsidRDefault="002668F3" w:rsidP="00C44925">
            <w:pPr>
              <w:jc w:val="right"/>
              <w:rPr>
                <w:sz w:val="20"/>
                <w:szCs w:val="20"/>
              </w:rPr>
            </w:pPr>
          </w:p>
        </w:tc>
        <w:tc>
          <w:tcPr>
            <w:tcW w:w="1080" w:type="dxa"/>
          </w:tcPr>
          <w:p w14:paraId="50F7A473" w14:textId="1B7D3097" w:rsidR="002668F3" w:rsidRPr="00B47D89" w:rsidRDefault="002668F3" w:rsidP="00C44925">
            <w:pPr>
              <w:jc w:val="right"/>
              <w:rPr>
                <w:sz w:val="20"/>
                <w:szCs w:val="20"/>
              </w:rPr>
            </w:pPr>
          </w:p>
        </w:tc>
        <w:tc>
          <w:tcPr>
            <w:tcW w:w="1080" w:type="dxa"/>
          </w:tcPr>
          <w:p w14:paraId="476CBB73" w14:textId="53CE3B5B" w:rsidR="002668F3" w:rsidRPr="00B47D89" w:rsidRDefault="00C44925" w:rsidP="00C44925">
            <w:pPr>
              <w:jc w:val="right"/>
              <w:rPr>
                <w:sz w:val="20"/>
                <w:szCs w:val="20"/>
              </w:rPr>
            </w:pPr>
            <w:r>
              <w:rPr>
                <w:sz w:val="20"/>
                <w:szCs w:val="20"/>
              </w:rPr>
              <w:t>$113,300</w:t>
            </w:r>
          </w:p>
        </w:tc>
      </w:tr>
      <w:tr w:rsidR="002668F3" w14:paraId="7875B6F2" w14:textId="77777777" w:rsidTr="00C44925">
        <w:trPr>
          <w:jc w:val="center"/>
        </w:trPr>
        <w:tc>
          <w:tcPr>
            <w:tcW w:w="2250" w:type="dxa"/>
          </w:tcPr>
          <w:p w14:paraId="23C49D24" w14:textId="29C80719" w:rsidR="002668F3" w:rsidRPr="00B47D89" w:rsidRDefault="00C44925" w:rsidP="006D1223">
            <w:pPr>
              <w:rPr>
                <w:sz w:val="20"/>
                <w:szCs w:val="20"/>
              </w:rPr>
            </w:pPr>
            <w:r>
              <w:rPr>
                <w:sz w:val="20"/>
                <w:szCs w:val="20"/>
              </w:rPr>
              <w:t>Local Health Department Services</w:t>
            </w:r>
          </w:p>
        </w:tc>
        <w:tc>
          <w:tcPr>
            <w:tcW w:w="2340" w:type="dxa"/>
          </w:tcPr>
          <w:p w14:paraId="48CD448C" w14:textId="584B44FF" w:rsidR="002668F3" w:rsidRPr="00B47D89" w:rsidRDefault="00C25DB7" w:rsidP="006D1223">
            <w:pPr>
              <w:rPr>
                <w:sz w:val="20"/>
                <w:szCs w:val="20"/>
              </w:rPr>
            </w:pPr>
            <w:r>
              <w:rPr>
                <w:sz w:val="20"/>
                <w:szCs w:val="20"/>
              </w:rPr>
              <w:t>General I</w:t>
            </w:r>
            <w:r w:rsidR="00C44925">
              <w:rPr>
                <w:sz w:val="20"/>
                <w:szCs w:val="20"/>
              </w:rPr>
              <w:t xml:space="preserve">ncrease for </w:t>
            </w:r>
            <w:r w:rsidR="001B284F">
              <w:rPr>
                <w:sz w:val="20"/>
                <w:szCs w:val="20"/>
              </w:rPr>
              <w:t>Environmental Services</w:t>
            </w:r>
          </w:p>
        </w:tc>
        <w:tc>
          <w:tcPr>
            <w:tcW w:w="2340" w:type="dxa"/>
          </w:tcPr>
          <w:p w14:paraId="05CB79DE" w14:textId="79C51947" w:rsidR="002668F3" w:rsidRPr="00B47D89" w:rsidRDefault="00C44925" w:rsidP="006D1223">
            <w:pPr>
              <w:rPr>
                <w:sz w:val="20"/>
                <w:szCs w:val="20"/>
              </w:rPr>
            </w:pPr>
            <w:r>
              <w:rPr>
                <w:sz w:val="20"/>
                <w:szCs w:val="20"/>
              </w:rPr>
              <w:t>General Fund</w:t>
            </w:r>
          </w:p>
        </w:tc>
        <w:tc>
          <w:tcPr>
            <w:tcW w:w="1440" w:type="dxa"/>
          </w:tcPr>
          <w:p w14:paraId="110399C1" w14:textId="77777777" w:rsidR="002668F3" w:rsidRPr="00B47D89" w:rsidRDefault="002668F3" w:rsidP="00C44925">
            <w:pPr>
              <w:jc w:val="right"/>
              <w:rPr>
                <w:sz w:val="20"/>
                <w:szCs w:val="20"/>
              </w:rPr>
            </w:pPr>
          </w:p>
        </w:tc>
        <w:tc>
          <w:tcPr>
            <w:tcW w:w="1080" w:type="dxa"/>
          </w:tcPr>
          <w:p w14:paraId="6A0EE64E" w14:textId="0B888FDC" w:rsidR="002668F3" w:rsidRPr="00B47D89" w:rsidRDefault="002668F3" w:rsidP="00C44925">
            <w:pPr>
              <w:jc w:val="right"/>
              <w:rPr>
                <w:sz w:val="20"/>
                <w:szCs w:val="20"/>
              </w:rPr>
            </w:pPr>
          </w:p>
        </w:tc>
        <w:tc>
          <w:tcPr>
            <w:tcW w:w="1080" w:type="dxa"/>
          </w:tcPr>
          <w:p w14:paraId="58A62210" w14:textId="1967B8C6" w:rsidR="002668F3" w:rsidRPr="00B47D89" w:rsidRDefault="00C44925" w:rsidP="00C44925">
            <w:pPr>
              <w:jc w:val="right"/>
              <w:rPr>
                <w:sz w:val="20"/>
                <w:szCs w:val="20"/>
              </w:rPr>
            </w:pPr>
            <w:r>
              <w:rPr>
                <w:sz w:val="20"/>
                <w:szCs w:val="20"/>
              </w:rPr>
              <w:t>$500,000</w:t>
            </w:r>
          </w:p>
        </w:tc>
      </w:tr>
      <w:tr w:rsidR="00C44925" w14:paraId="3465D945" w14:textId="77777777" w:rsidTr="00C44925">
        <w:trPr>
          <w:jc w:val="center"/>
        </w:trPr>
        <w:tc>
          <w:tcPr>
            <w:tcW w:w="2250" w:type="dxa"/>
          </w:tcPr>
          <w:p w14:paraId="0758D942" w14:textId="1DD49EE1" w:rsidR="00C44925" w:rsidRDefault="00C44925" w:rsidP="006D1223">
            <w:pPr>
              <w:rPr>
                <w:sz w:val="20"/>
                <w:szCs w:val="20"/>
              </w:rPr>
            </w:pPr>
            <w:r>
              <w:rPr>
                <w:sz w:val="20"/>
                <w:szCs w:val="20"/>
              </w:rPr>
              <w:t>Utah Mapping &amp; Information Partnership</w:t>
            </w:r>
          </w:p>
        </w:tc>
        <w:tc>
          <w:tcPr>
            <w:tcW w:w="2340" w:type="dxa"/>
          </w:tcPr>
          <w:p w14:paraId="769370B8" w14:textId="264C9AE8" w:rsidR="00C44925" w:rsidRDefault="00C25DB7" w:rsidP="00C25DB7">
            <w:pPr>
              <w:rPr>
                <w:sz w:val="20"/>
                <w:szCs w:val="20"/>
              </w:rPr>
            </w:pPr>
            <w:r>
              <w:rPr>
                <w:sz w:val="20"/>
                <w:szCs w:val="20"/>
              </w:rPr>
              <w:t xml:space="preserve">Multiple-Agency Effort-Funding Correction </w:t>
            </w:r>
          </w:p>
        </w:tc>
        <w:tc>
          <w:tcPr>
            <w:tcW w:w="2340" w:type="dxa"/>
          </w:tcPr>
          <w:p w14:paraId="11584872" w14:textId="77777777" w:rsidR="00C44925" w:rsidRDefault="00C44925" w:rsidP="006D1223">
            <w:pPr>
              <w:rPr>
                <w:sz w:val="20"/>
                <w:szCs w:val="20"/>
              </w:rPr>
            </w:pPr>
          </w:p>
        </w:tc>
        <w:tc>
          <w:tcPr>
            <w:tcW w:w="1440" w:type="dxa"/>
          </w:tcPr>
          <w:p w14:paraId="02DFEBCC" w14:textId="68CA7E98" w:rsidR="00C44925" w:rsidRPr="00B47D89" w:rsidRDefault="00C44925" w:rsidP="00C44925">
            <w:pPr>
              <w:jc w:val="right"/>
              <w:rPr>
                <w:sz w:val="20"/>
                <w:szCs w:val="20"/>
              </w:rPr>
            </w:pPr>
            <w:r>
              <w:rPr>
                <w:sz w:val="20"/>
                <w:szCs w:val="20"/>
              </w:rPr>
              <w:t>$195,600</w:t>
            </w:r>
          </w:p>
        </w:tc>
        <w:tc>
          <w:tcPr>
            <w:tcW w:w="1080" w:type="dxa"/>
          </w:tcPr>
          <w:p w14:paraId="6365B54B" w14:textId="77777777" w:rsidR="00C44925" w:rsidRPr="00B47D89" w:rsidRDefault="00C44925" w:rsidP="00C44925">
            <w:pPr>
              <w:jc w:val="right"/>
              <w:rPr>
                <w:sz w:val="20"/>
                <w:szCs w:val="20"/>
              </w:rPr>
            </w:pPr>
          </w:p>
        </w:tc>
        <w:tc>
          <w:tcPr>
            <w:tcW w:w="1080" w:type="dxa"/>
          </w:tcPr>
          <w:p w14:paraId="4FE8E353" w14:textId="77777777" w:rsidR="00C44925" w:rsidRDefault="00C44925" w:rsidP="00C44925">
            <w:pPr>
              <w:jc w:val="right"/>
              <w:rPr>
                <w:sz w:val="20"/>
                <w:szCs w:val="20"/>
              </w:rPr>
            </w:pPr>
          </w:p>
        </w:tc>
      </w:tr>
    </w:tbl>
    <w:p w14:paraId="7A6752D1" w14:textId="71747E3F" w:rsidR="009F0C04" w:rsidRDefault="00C44925" w:rsidP="00173DD3">
      <w:pPr>
        <w:pStyle w:val="Heading2"/>
        <w:spacing w:before="120"/>
      </w:pPr>
      <w:r>
        <w:t>Water Quality-Harmful Algal Bloom Fund</w:t>
      </w:r>
    </w:p>
    <w:p w14:paraId="03F9B7F4" w14:textId="3B2944C2" w:rsidR="00750E9D" w:rsidRPr="00B47D89" w:rsidRDefault="00B47D89" w:rsidP="00B47D89">
      <w:pPr>
        <w:spacing w:after="120"/>
      </w:pPr>
      <w:r>
        <w:rPr>
          <w:b/>
        </w:rPr>
        <w:t xml:space="preserve">The Division of </w:t>
      </w:r>
      <w:r w:rsidR="00D441D9">
        <w:rPr>
          <w:b/>
        </w:rPr>
        <w:t>Water</w:t>
      </w:r>
      <w:r>
        <w:rPr>
          <w:b/>
        </w:rPr>
        <w:t xml:space="preserve"> Quality requests </w:t>
      </w:r>
      <w:r w:rsidRPr="00B47D89">
        <w:rPr>
          <w:b/>
          <w:u w:val="single"/>
        </w:rPr>
        <w:t>$</w:t>
      </w:r>
      <w:r w:rsidR="00D441D9">
        <w:rPr>
          <w:b/>
          <w:u w:val="single"/>
        </w:rPr>
        <w:t>126,000</w:t>
      </w:r>
      <w:r w:rsidRPr="00B47D89">
        <w:rPr>
          <w:b/>
        </w:rPr>
        <w:t xml:space="preserve"> in </w:t>
      </w:r>
      <w:r w:rsidR="00D441D9">
        <w:rPr>
          <w:b/>
          <w:u w:val="single"/>
        </w:rPr>
        <w:t>supplemental</w:t>
      </w:r>
      <w:r>
        <w:rPr>
          <w:b/>
        </w:rPr>
        <w:t xml:space="preserve"> and </w:t>
      </w:r>
      <w:r w:rsidRPr="00B47D89">
        <w:rPr>
          <w:b/>
          <w:u w:val="single"/>
        </w:rPr>
        <w:t>$1</w:t>
      </w:r>
      <w:r w:rsidR="00D441D9">
        <w:rPr>
          <w:b/>
          <w:u w:val="single"/>
        </w:rPr>
        <w:t>78,5</w:t>
      </w:r>
      <w:r w:rsidRPr="00B47D89">
        <w:rPr>
          <w:b/>
          <w:u w:val="single"/>
        </w:rPr>
        <w:t xml:space="preserve">00 </w:t>
      </w:r>
      <w:r w:rsidR="00D441D9">
        <w:rPr>
          <w:b/>
          <w:u w:val="single"/>
        </w:rPr>
        <w:t>in one-time funding</w:t>
      </w:r>
      <w:r>
        <w:rPr>
          <w:b/>
        </w:rPr>
        <w:t xml:space="preserve"> from the </w:t>
      </w:r>
      <w:r w:rsidR="00173DD3">
        <w:rPr>
          <w:b/>
          <w:u w:val="single"/>
        </w:rPr>
        <w:t>General F</w:t>
      </w:r>
      <w:r w:rsidRPr="00B47D89">
        <w:rPr>
          <w:b/>
          <w:u w:val="single"/>
        </w:rPr>
        <w:t>und</w:t>
      </w:r>
      <w:r>
        <w:rPr>
          <w:b/>
        </w:rPr>
        <w:t xml:space="preserve"> to </w:t>
      </w:r>
      <w:r w:rsidR="00D441D9">
        <w:rPr>
          <w:b/>
        </w:rPr>
        <w:t>create a rainy day fund to address the testing and coordination costs associated with harmful algal blooms</w:t>
      </w:r>
      <w:r>
        <w:rPr>
          <w:b/>
        </w:rPr>
        <w:t xml:space="preserve">. </w:t>
      </w:r>
      <w:r w:rsidR="00D441D9">
        <w:t>The Division of Water Quality has identified over two dozen priority water bodies statewide that are at-risk for excessive algal growth, including harmful algal blooms</w:t>
      </w:r>
      <w:r w:rsidR="00D53E05">
        <w:t xml:space="preserve"> </w:t>
      </w:r>
      <w:r w:rsidR="001B284F">
        <w:t>(HAB)</w:t>
      </w:r>
      <w:r w:rsidR="00D441D9">
        <w:t xml:space="preserve">.  </w:t>
      </w:r>
      <w:r w:rsidR="00750E9D" w:rsidRPr="00A42A93">
        <w:rPr>
          <w:rFonts w:eastAsia="Cambria" w:cs="Cambria"/>
        </w:rPr>
        <w:t xml:space="preserve">The funding will ensure </w:t>
      </w:r>
      <w:r w:rsidR="00750E9D">
        <w:rPr>
          <w:rFonts w:eastAsia="Cambria" w:cs="Cambria"/>
        </w:rPr>
        <w:t xml:space="preserve">that, should the need arise, the division of water quality will be able to respond to </w:t>
      </w:r>
      <w:r w:rsidR="001B284F">
        <w:rPr>
          <w:rFonts w:eastAsia="Cambria" w:cs="Cambria"/>
        </w:rPr>
        <w:t>HABs</w:t>
      </w:r>
      <w:r w:rsidR="00750E9D" w:rsidRPr="00A42A93">
        <w:rPr>
          <w:rFonts w:eastAsia="Cambria" w:cs="Cambria"/>
        </w:rPr>
        <w:t xml:space="preserve"> with quick and efficient data collection and have </w:t>
      </w:r>
      <w:r w:rsidR="00750E9D">
        <w:rPr>
          <w:rFonts w:eastAsia="Cambria" w:cs="Cambria"/>
        </w:rPr>
        <w:t xml:space="preserve">critical </w:t>
      </w:r>
      <w:r w:rsidR="00750E9D" w:rsidRPr="00A42A93">
        <w:rPr>
          <w:rFonts w:eastAsia="Cambria" w:cs="Cambria"/>
        </w:rPr>
        <w:t>information for the L</w:t>
      </w:r>
      <w:r w:rsidR="00750E9D">
        <w:rPr>
          <w:rFonts w:eastAsia="Cambria" w:cs="Cambria"/>
        </w:rPr>
        <w:t xml:space="preserve">ocal </w:t>
      </w:r>
      <w:r w:rsidR="00750E9D" w:rsidRPr="00A42A93">
        <w:rPr>
          <w:rFonts w:eastAsia="Cambria" w:cs="Cambria"/>
        </w:rPr>
        <w:t>H</w:t>
      </w:r>
      <w:r w:rsidR="00750E9D">
        <w:rPr>
          <w:rFonts w:eastAsia="Cambria" w:cs="Cambria"/>
        </w:rPr>
        <w:t xml:space="preserve">ealth </w:t>
      </w:r>
      <w:r w:rsidR="00750E9D" w:rsidRPr="00A42A93">
        <w:rPr>
          <w:rFonts w:eastAsia="Cambria" w:cs="Cambria"/>
        </w:rPr>
        <w:t>D</w:t>
      </w:r>
      <w:r w:rsidR="00750E9D">
        <w:rPr>
          <w:rFonts w:eastAsia="Cambria" w:cs="Cambria"/>
        </w:rPr>
        <w:t>epartment</w:t>
      </w:r>
      <w:r w:rsidR="00750E9D" w:rsidRPr="00A42A93">
        <w:rPr>
          <w:rFonts w:eastAsia="Cambria" w:cs="Cambria"/>
        </w:rPr>
        <w:t>s to make decisions</w:t>
      </w:r>
      <w:r w:rsidR="001B284F">
        <w:rPr>
          <w:rFonts w:eastAsia="Cambria" w:cs="Cambria"/>
        </w:rPr>
        <w:t xml:space="preserve"> to protect public health</w:t>
      </w:r>
      <w:r w:rsidR="00750E9D" w:rsidRPr="00A42A93">
        <w:rPr>
          <w:rFonts w:eastAsia="Cambria" w:cs="Cambria"/>
        </w:rPr>
        <w:t xml:space="preserve"> wit</w:t>
      </w:r>
      <w:r w:rsidR="00750E9D">
        <w:rPr>
          <w:rFonts w:eastAsia="Cambria" w:cs="Cambria"/>
        </w:rPr>
        <w:t>hin 24 hours of data collection.</w:t>
      </w:r>
      <w:r w:rsidR="001B284F">
        <w:rPr>
          <w:rFonts w:eastAsia="Cambria" w:cs="Cambria"/>
        </w:rPr>
        <w:t xml:space="preserve">  </w:t>
      </w:r>
      <w:r w:rsidR="005950A8">
        <w:rPr>
          <w:rFonts w:eastAsia="Cambria" w:cs="Cambria"/>
        </w:rPr>
        <w:t>This</w:t>
      </w:r>
      <w:r w:rsidR="001B284F">
        <w:rPr>
          <w:rFonts w:eastAsia="Cambria" w:cs="Cambria"/>
        </w:rPr>
        <w:t xml:space="preserve"> also address constraints caused by the unbudgeted HAB response</w:t>
      </w:r>
      <w:r w:rsidR="005950A8">
        <w:rPr>
          <w:rFonts w:eastAsia="Cambria" w:cs="Cambria"/>
        </w:rPr>
        <w:t>s</w:t>
      </w:r>
      <w:r w:rsidR="001B284F">
        <w:rPr>
          <w:rFonts w:eastAsia="Cambria" w:cs="Cambria"/>
        </w:rPr>
        <w:t xml:space="preserve"> in 2016 and 2017.</w:t>
      </w:r>
    </w:p>
    <w:p w14:paraId="1D35046E" w14:textId="5C04BB59" w:rsidR="002921D1" w:rsidRDefault="002921D1" w:rsidP="00B47D89">
      <w:pPr>
        <w:pStyle w:val="Heading2"/>
        <w:spacing w:before="120"/>
      </w:pPr>
      <w:r>
        <w:t>A</w:t>
      </w:r>
      <w:r w:rsidR="006D1223">
        <w:t xml:space="preserve">ir Quality: </w:t>
      </w:r>
      <w:r w:rsidR="00C44925">
        <w:t>Science for Solutions</w:t>
      </w:r>
    </w:p>
    <w:p w14:paraId="65AAF529" w14:textId="58120B8E" w:rsidR="00020F4C" w:rsidRPr="00020F4C" w:rsidRDefault="00DC616E" w:rsidP="00020F4C">
      <w:pPr>
        <w:spacing w:after="120"/>
      </w:pPr>
      <w:r>
        <w:rPr>
          <w:b/>
        </w:rPr>
        <w:t xml:space="preserve">The Division of Air Quality requests </w:t>
      </w:r>
      <w:r w:rsidR="00020F4C">
        <w:rPr>
          <w:b/>
          <w:u w:val="single"/>
        </w:rPr>
        <w:t>$50</w:t>
      </w:r>
      <w:r w:rsidRPr="00DC616E">
        <w:rPr>
          <w:b/>
          <w:u w:val="single"/>
        </w:rPr>
        <w:t>0,000</w:t>
      </w:r>
      <w:r>
        <w:rPr>
          <w:b/>
        </w:rPr>
        <w:t xml:space="preserve"> in </w:t>
      </w:r>
      <w:r w:rsidR="00D4654F">
        <w:rPr>
          <w:b/>
          <w:u w:val="single"/>
        </w:rPr>
        <w:t>o</w:t>
      </w:r>
      <w:r w:rsidR="00020F4C">
        <w:rPr>
          <w:b/>
          <w:u w:val="single"/>
        </w:rPr>
        <w:t>ngoing</w:t>
      </w:r>
      <w:r>
        <w:rPr>
          <w:b/>
        </w:rPr>
        <w:t xml:space="preserve"> funding from the </w:t>
      </w:r>
      <w:r w:rsidR="00173DD3">
        <w:rPr>
          <w:b/>
          <w:u w:val="single"/>
        </w:rPr>
        <w:t>General F</w:t>
      </w:r>
      <w:r w:rsidRPr="00DC616E">
        <w:rPr>
          <w:b/>
          <w:u w:val="single"/>
        </w:rPr>
        <w:t>und</w:t>
      </w:r>
      <w:r>
        <w:rPr>
          <w:b/>
        </w:rPr>
        <w:t xml:space="preserve"> to </w:t>
      </w:r>
      <w:r w:rsidR="00020F4C">
        <w:rPr>
          <w:b/>
        </w:rPr>
        <w:t>fund the Divisions ability to find solutions for Utah’s unique air quality challenges</w:t>
      </w:r>
      <w:r>
        <w:rPr>
          <w:b/>
        </w:rPr>
        <w:t>.</w:t>
      </w:r>
      <w:r w:rsidR="00B47D89">
        <w:rPr>
          <w:b/>
        </w:rPr>
        <w:t xml:space="preserve"> </w:t>
      </w:r>
      <w:r w:rsidR="00020F4C">
        <w:t xml:space="preserve">While </w:t>
      </w:r>
      <w:r w:rsidR="00020F4C" w:rsidRPr="00020F4C">
        <w:t xml:space="preserve">Utah’s air quality has improved in recent years, the state’s topography, climate, and atmospheric chemistry continue to create unhealthy air conditions during certain times of the year. </w:t>
      </w:r>
      <w:r w:rsidR="00020F4C">
        <w:t>Utah’s</w:t>
      </w:r>
      <w:r w:rsidR="00020F4C" w:rsidRPr="00020F4C">
        <w:t xml:space="preserve"> unique </w:t>
      </w:r>
      <w:r w:rsidR="00020F4C">
        <w:t>topography and challenges</w:t>
      </w:r>
      <w:r w:rsidR="00020F4C" w:rsidRPr="00020F4C">
        <w:t xml:space="preserve"> </w:t>
      </w:r>
      <w:r w:rsidR="00020F4C">
        <w:t>requires</w:t>
      </w:r>
      <w:r w:rsidR="00020F4C" w:rsidRPr="00020F4C">
        <w:t xml:space="preserve"> a targeted approach</w:t>
      </w:r>
      <w:r w:rsidR="00020F4C">
        <w:t xml:space="preserve"> for</w:t>
      </w:r>
      <w:r w:rsidR="00020F4C" w:rsidRPr="00020F4C">
        <w:t xml:space="preserve"> local solutions. </w:t>
      </w:r>
    </w:p>
    <w:p w14:paraId="6A8C123D" w14:textId="655EBC60" w:rsidR="00020F4C" w:rsidRPr="00020F4C" w:rsidRDefault="00020F4C" w:rsidP="00020F4C">
      <w:pPr>
        <w:shd w:val="clear" w:color="auto" w:fill="FFFFFF"/>
        <w:spacing w:after="0" w:line="240" w:lineRule="auto"/>
      </w:pPr>
      <w:r>
        <w:t xml:space="preserve">This would </w:t>
      </w:r>
      <w:r w:rsidR="00750E9D">
        <w:t xml:space="preserve">immediately </w:t>
      </w:r>
      <w:r>
        <w:t xml:space="preserve">fund projects </w:t>
      </w:r>
      <w:r w:rsidR="00750E9D">
        <w:t xml:space="preserve">to better understand: </w:t>
      </w:r>
    </w:p>
    <w:p w14:paraId="017094E8" w14:textId="77777777" w:rsidR="00171CAB" w:rsidRDefault="00020F4C" w:rsidP="00171CAB">
      <w:pPr>
        <w:pStyle w:val="ListParagraph"/>
        <w:numPr>
          <w:ilvl w:val="0"/>
          <w:numId w:val="4"/>
        </w:numPr>
        <w:shd w:val="clear" w:color="auto" w:fill="FFFFFF"/>
        <w:spacing w:after="0" w:line="240" w:lineRule="auto"/>
      </w:pPr>
      <w:r w:rsidRPr="00020F4C">
        <w:t>The impact of wood-burning on mandatory no-burn days</w:t>
      </w:r>
    </w:p>
    <w:p w14:paraId="38C24E7A" w14:textId="570D2880" w:rsidR="00020F4C" w:rsidRPr="00020F4C" w:rsidRDefault="00020F4C" w:rsidP="00171CAB">
      <w:pPr>
        <w:pStyle w:val="ListParagraph"/>
        <w:numPr>
          <w:ilvl w:val="0"/>
          <w:numId w:val="4"/>
        </w:numPr>
        <w:shd w:val="clear" w:color="auto" w:fill="FFFFFF"/>
        <w:spacing w:after="0" w:line="240" w:lineRule="auto"/>
      </w:pPr>
      <w:r w:rsidRPr="00020F4C">
        <w:t>The impact of ammonia emissions from diesel vehicles during winter inversions</w:t>
      </w:r>
    </w:p>
    <w:p w14:paraId="11497C5C" w14:textId="77777777" w:rsidR="00020F4C" w:rsidRDefault="00020F4C" w:rsidP="00171CAB">
      <w:pPr>
        <w:pStyle w:val="ListParagraph"/>
        <w:numPr>
          <w:ilvl w:val="0"/>
          <w:numId w:val="4"/>
        </w:numPr>
        <w:shd w:val="clear" w:color="auto" w:fill="FFFFFF"/>
        <w:spacing w:after="0" w:line="240" w:lineRule="auto"/>
      </w:pPr>
      <w:r w:rsidRPr="00020F4C">
        <w:t>Improved emission inventories and air-quality modeling (in partnership with the University of Utah)</w:t>
      </w:r>
    </w:p>
    <w:p w14:paraId="2F59287D" w14:textId="77777777" w:rsidR="00750E9D" w:rsidRPr="00020F4C" w:rsidRDefault="00750E9D" w:rsidP="00750E9D">
      <w:pPr>
        <w:shd w:val="clear" w:color="auto" w:fill="FFFFFF"/>
        <w:spacing w:after="0" w:line="240" w:lineRule="auto"/>
        <w:ind w:left="274"/>
      </w:pPr>
    </w:p>
    <w:p w14:paraId="4B348753" w14:textId="7BB4C340" w:rsidR="00020F4C" w:rsidRPr="00020F4C" w:rsidRDefault="00750E9D" w:rsidP="00020F4C">
      <w:pPr>
        <w:shd w:val="clear" w:color="auto" w:fill="FFFFFF"/>
        <w:spacing w:after="180" w:line="240" w:lineRule="auto"/>
      </w:pPr>
      <w:r>
        <w:t>These</w:t>
      </w:r>
      <w:r w:rsidR="00020F4C" w:rsidRPr="00020F4C">
        <w:t xml:space="preserve"> projects help the state develop cost-effective, targeted regulations that improve air quality and avoid a federal “one-size-fits-all” approach to Utah’s unique air-quality challenges.</w:t>
      </w:r>
    </w:p>
    <w:p w14:paraId="0C9041E6" w14:textId="475B7B2C" w:rsidR="002921D1" w:rsidRDefault="00C44925" w:rsidP="00173DD3">
      <w:pPr>
        <w:pStyle w:val="Heading2"/>
        <w:spacing w:before="120"/>
      </w:pPr>
      <w:r>
        <w:t>Air Quality FTE</w:t>
      </w:r>
      <w:r w:rsidR="006D1223">
        <w:t xml:space="preserve">: </w:t>
      </w:r>
      <w:r>
        <w:t>Stack Testing</w:t>
      </w:r>
      <w:r w:rsidR="009A3E9D">
        <w:t xml:space="preserve"> Auditor</w:t>
      </w:r>
    </w:p>
    <w:p w14:paraId="5EE820FA" w14:textId="5FA50B8C" w:rsidR="009A3E9D" w:rsidRPr="009A3E9D" w:rsidRDefault="00A42A93" w:rsidP="009A3E9D">
      <w:pPr>
        <w:rPr>
          <w:rFonts w:eastAsia="Cambria" w:cs="Cambria"/>
        </w:rPr>
      </w:pPr>
      <w:r w:rsidRPr="00A42A93">
        <w:rPr>
          <w:b/>
        </w:rPr>
        <w:t xml:space="preserve">The Division of </w:t>
      </w:r>
      <w:r w:rsidR="00750E9D">
        <w:rPr>
          <w:b/>
        </w:rPr>
        <w:t>Air</w:t>
      </w:r>
      <w:r w:rsidRPr="00A42A93">
        <w:rPr>
          <w:b/>
        </w:rPr>
        <w:t xml:space="preserve"> Quality is requesting </w:t>
      </w:r>
      <w:r w:rsidR="00750E9D">
        <w:rPr>
          <w:b/>
          <w:u w:val="single"/>
        </w:rPr>
        <w:t>$118,700</w:t>
      </w:r>
      <w:r w:rsidRPr="00A42A93">
        <w:rPr>
          <w:b/>
        </w:rPr>
        <w:t xml:space="preserve"> in </w:t>
      </w:r>
      <w:r w:rsidR="00D4654F">
        <w:rPr>
          <w:b/>
          <w:u w:val="single"/>
        </w:rPr>
        <w:t>on</w:t>
      </w:r>
      <w:r w:rsidR="00750E9D">
        <w:rPr>
          <w:b/>
          <w:u w:val="single"/>
        </w:rPr>
        <w:t>going</w:t>
      </w:r>
      <w:r w:rsidRPr="00A42A93">
        <w:rPr>
          <w:b/>
        </w:rPr>
        <w:t xml:space="preserve"> funding from the </w:t>
      </w:r>
      <w:r w:rsidRPr="00A42A93">
        <w:rPr>
          <w:b/>
          <w:u w:val="single"/>
        </w:rPr>
        <w:t>General Fund</w:t>
      </w:r>
      <w:r w:rsidRPr="00A42A93">
        <w:rPr>
          <w:b/>
        </w:rPr>
        <w:t xml:space="preserve"> to </w:t>
      </w:r>
      <w:r w:rsidR="009A3E9D">
        <w:rPr>
          <w:b/>
        </w:rPr>
        <w:t>further the Divisions stack testing efforts</w:t>
      </w:r>
      <w:r w:rsidRPr="00A42A93">
        <w:rPr>
          <w:b/>
        </w:rPr>
        <w:t xml:space="preserve">. </w:t>
      </w:r>
      <w:hyperlink r:id="rId10" w:history="1">
        <w:r w:rsidR="009A3E9D" w:rsidRPr="009A3E9D">
          <w:rPr>
            <w:rFonts w:eastAsia="Cambria" w:cs="Cambria"/>
          </w:rPr>
          <w:t>Stack testing</w:t>
        </w:r>
      </w:hyperlink>
      <w:r w:rsidR="009A3E9D">
        <w:rPr>
          <w:rFonts w:eastAsia="Cambria" w:cs="Cambria"/>
        </w:rPr>
        <w:t xml:space="preserve"> directly</w:t>
      </w:r>
      <w:r w:rsidR="009A3E9D" w:rsidRPr="009A3E9D">
        <w:rPr>
          <w:rFonts w:eastAsia="Cambria" w:cs="Cambria"/>
        </w:rPr>
        <w:t xml:space="preserve"> mea</w:t>
      </w:r>
      <w:r w:rsidR="009A3E9D">
        <w:rPr>
          <w:rFonts w:eastAsia="Cambria" w:cs="Cambria"/>
        </w:rPr>
        <w:t>sures</w:t>
      </w:r>
      <w:r w:rsidR="009A3E9D" w:rsidRPr="009A3E9D">
        <w:rPr>
          <w:rFonts w:eastAsia="Cambria" w:cs="Cambria"/>
        </w:rPr>
        <w:t xml:space="preserve"> emissions from industrial air-pollution sources. This testing is the only way to quantify actual emissions and verify the design and operation of air-pollution control technologies. Over the past 10 years, stack test requirements have grown in number and complexity; </w:t>
      </w:r>
      <w:r w:rsidR="009A3E9D">
        <w:rPr>
          <w:rFonts w:eastAsia="Cambria" w:cs="Cambria"/>
        </w:rPr>
        <w:t>a</w:t>
      </w:r>
      <w:r w:rsidR="009A3E9D" w:rsidRPr="009A3E9D">
        <w:rPr>
          <w:rFonts w:eastAsia="Cambria" w:cs="Cambria"/>
        </w:rPr>
        <w:t>n additional stack test auditor will ensure DAQ can keep up with the workload and continue to provide exceptional service to our customers.</w:t>
      </w:r>
    </w:p>
    <w:p w14:paraId="30025B5F" w14:textId="77777777" w:rsidR="00D53E05" w:rsidRPr="00D53E05" w:rsidRDefault="00D53E05" w:rsidP="000D040F">
      <w:pPr>
        <w:pStyle w:val="Heading2"/>
        <w:rPr>
          <w:sz w:val="16"/>
          <w:szCs w:val="16"/>
        </w:rPr>
      </w:pPr>
    </w:p>
    <w:p w14:paraId="62E4C285" w14:textId="5746620A" w:rsidR="002921D1" w:rsidRDefault="00C44925" w:rsidP="00D53E05">
      <w:pPr>
        <w:pStyle w:val="Heading2"/>
        <w:spacing w:before="0"/>
      </w:pPr>
      <w:r>
        <w:t>Air Quality FTE</w:t>
      </w:r>
      <w:r w:rsidR="006D1223">
        <w:t xml:space="preserve">: </w:t>
      </w:r>
      <w:r>
        <w:t>State Implementation Plan (SIP) Planning</w:t>
      </w:r>
      <w:r w:rsidR="006D1223">
        <w:t xml:space="preserve"> </w:t>
      </w:r>
    </w:p>
    <w:p w14:paraId="1D02CD5E" w14:textId="6C0FB3AA" w:rsidR="00D57DCE" w:rsidRPr="009A3E9D" w:rsidRDefault="009A3E9D" w:rsidP="009A3E9D">
      <w:pPr>
        <w:rPr>
          <w:rFonts w:ascii="Times New Roman" w:eastAsia="Times New Roman" w:hAnsi="Times New Roman" w:cs="Times New Roman"/>
          <w:sz w:val="20"/>
          <w:szCs w:val="20"/>
        </w:rPr>
      </w:pPr>
      <w:r w:rsidRPr="00A42A93">
        <w:rPr>
          <w:b/>
        </w:rPr>
        <w:t xml:space="preserve">The Division of </w:t>
      </w:r>
      <w:r>
        <w:rPr>
          <w:b/>
        </w:rPr>
        <w:t>Air</w:t>
      </w:r>
      <w:r w:rsidRPr="00A42A93">
        <w:rPr>
          <w:b/>
        </w:rPr>
        <w:t xml:space="preserve"> Quality is requesting </w:t>
      </w:r>
      <w:r>
        <w:rPr>
          <w:b/>
          <w:u w:val="single"/>
        </w:rPr>
        <w:t>$113,300</w:t>
      </w:r>
      <w:r w:rsidRPr="00A42A93">
        <w:rPr>
          <w:b/>
        </w:rPr>
        <w:t xml:space="preserve"> in </w:t>
      </w:r>
      <w:r>
        <w:rPr>
          <w:b/>
          <w:u w:val="single"/>
        </w:rPr>
        <w:t>ongoing</w:t>
      </w:r>
      <w:r w:rsidRPr="00A42A93">
        <w:rPr>
          <w:b/>
        </w:rPr>
        <w:t xml:space="preserve"> funding from the </w:t>
      </w:r>
      <w:r w:rsidRPr="00A42A93">
        <w:rPr>
          <w:b/>
          <w:u w:val="single"/>
        </w:rPr>
        <w:t>General Fund</w:t>
      </w:r>
      <w:r w:rsidRPr="00A42A93">
        <w:rPr>
          <w:b/>
        </w:rPr>
        <w:t xml:space="preserve"> to </w:t>
      </w:r>
      <w:r>
        <w:rPr>
          <w:b/>
        </w:rPr>
        <w:t>hire an additional resource to develop State Implementation Plans</w:t>
      </w:r>
      <w:r w:rsidRPr="00A42A93">
        <w:rPr>
          <w:b/>
        </w:rPr>
        <w:t xml:space="preserve">. </w:t>
      </w:r>
      <w:r w:rsidR="001B284F">
        <w:t xml:space="preserve">Federal law requires DEQ to develop State Implementation Plans (SIP) to achieve air quality standards. </w:t>
      </w:r>
      <w:r w:rsidRPr="009A3E9D">
        <w:rPr>
          <w:rFonts w:eastAsia="Times New Roman" w:cs="Times New Roman"/>
        </w:rPr>
        <w:t>DEQ’s responsibilities for developing </w:t>
      </w:r>
      <w:hyperlink r:id="rId11" w:history="1">
        <w:r w:rsidR="001B284F">
          <w:rPr>
            <w:rFonts w:eastAsia="Times New Roman" w:cs="Times New Roman"/>
          </w:rPr>
          <w:t>SIPs</w:t>
        </w:r>
      </w:hyperlink>
      <w:r w:rsidRPr="009A3E9D">
        <w:rPr>
          <w:rFonts w:eastAsia="Times New Roman" w:cs="Times New Roman"/>
        </w:rPr>
        <w:t> extend</w:t>
      </w:r>
      <w:r w:rsidR="001B284F">
        <w:rPr>
          <w:rFonts w:eastAsia="Times New Roman" w:cs="Times New Roman"/>
        </w:rPr>
        <w:t>s</w:t>
      </w:r>
      <w:r w:rsidRPr="009A3E9D">
        <w:rPr>
          <w:rFonts w:eastAsia="Times New Roman" w:cs="Times New Roman"/>
        </w:rPr>
        <w:t xml:space="preserve"> beyond the Serious PM2.5 SIP and the upcoming ozone SIP. The Division of Air Quality (DAQ) is </w:t>
      </w:r>
      <w:r w:rsidR="001B284F">
        <w:rPr>
          <w:rFonts w:eastAsia="Times New Roman" w:cs="Times New Roman"/>
        </w:rPr>
        <w:t xml:space="preserve">working on a total of 9 SIPs, including those for </w:t>
      </w:r>
      <w:r w:rsidRPr="009A3E9D">
        <w:rPr>
          <w:rFonts w:eastAsia="Times New Roman" w:cs="Times New Roman"/>
        </w:rPr>
        <w:t xml:space="preserve">for other criteria pollutants, including sulfur dioxide (SO2), nitrogen oxides (NOx), carbon monoxide (CO) and particulate matter (PM10). Hiring an additional environmental scientist to take on SIP development responsibilities — including the identification and evaluation of potential control strategies — would ensure the timely completion of accurate, approvable SIPs, allowing us to meet </w:t>
      </w:r>
      <w:r w:rsidR="001B284F">
        <w:rPr>
          <w:rFonts w:eastAsia="Times New Roman" w:cs="Times New Roman"/>
        </w:rPr>
        <w:t>health-based air quality</w:t>
      </w:r>
      <w:r w:rsidRPr="009A3E9D">
        <w:rPr>
          <w:rFonts w:eastAsia="Times New Roman" w:cs="Times New Roman"/>
        </w:rPr>
        <w:t xml:space="preserve"> standards</w:t>
      </w:r>
      <w:r w:rsidR="001B284F">
        <w:rPr>
          <w:rFonts w:eastAsia="Times New Roman" w:cs="Times New Roman"/>
        </w:rPr>
        <w:t xml:space="preserve"> in the most economic way possible</w:t>
      </w:r>
      <w:r w:rsidRPr="009A3E9D">
        <w:rPr>
          <w:rFonts w:eastAsia="Times New Roman" w:cs="Times New Roman"/>
        </w:rPr>
        <w:t>.</w:t>
      </w:r>
    </w:p>
    <w:p w14:paraId="0F8D43FA" w14:textId="2A8D019D" w:rsidR="002921D1" w:rsidRDefault="00C44925" w:rsidP="001269A5">
      <w:pPr>
        <w:pStyle w:val="Heading2"/>
      </w:pPr>
      <w:r>
        <w:t>Air Quality FTE: Technical Analysis Scientist</w:t>
      </w:r>
    </w:p>
    <w:p w14:paraId="1F1F134E" w14:textId="550B2514" w:rsidR="00C44925" w:rsidRPr="009A3E9D" w:rsidRDefault="009A3E9D" w:rsidP="001269A5">
      <w:pPr>
        <w:rPr>
          <w:rFonts w:ascii="Times New Roman" w:eastAsia="Times New Roman" w:hAnsi="Times New Roman" w:cs="Times New Roman"/>
          <w:sz w:val="20"/>
          <w:szCs w:val="20"/>
        </w:rPr>
      </w:pPr>
      <w:r w:rsidRPr="00A42A93">
        <w:rPr>
          <w:b/>
        </w:rPr>
        <w:t xml:space="preserve">The Division of </w:t>
      </w:r>
      <w:r>
        <w:rPr>
          <w:b/>
        </w:rPr>
        <w:t>Air</w:t>
      </w:r>
      <w:r w:rsidRPr="00A42A93">
        <w:rPr>
          <w:b/>
        </w:rPr>
        <w:t xml:space="preserve"> Quality is requesting </w:t>
      </w:r>
      <w:r>
        <w:rPr>
          <w:b/>
          <w:u w:val="single"/>
        </w:rPr>
        <w:t>$118,700</w:t>
      </w:r>
      <w:r w:rsidRPr="00A42A93">
        <w:rPr>
          <w:b/>
        </w:rPr>
        <w:t xml:space="preserve"> in </w:t>
      </w:r>
      <w:r>
        <w:rPr>
          <w:b/>
          <w:u w:val="single"/>
        </w:rPr>
        <w:t>ongoing</w:t>
      </w:r>
      <w:r w:rsidRPr="00A42A93">
        <w:rPr>
          <w:b/>
        </w:rPr>
        <w:t xml:space="preserve"> funding from the </w:t>
      </w:r>
      <w:r w:rsidRPr="00A42A93">
        <w:rPr>
          <w:b/>
          <w:u w:val="single"/>
        </w:rPr>
        <w:t>General Fund</w:t>
      </w:r>
      <w:r w:rsidRPr="00A42A93">
        <w:rPr>
          <w:b/>
        </w:rPr>
        <w:t xml:space="preserve"> to </w:t>
      </w:r>
      <w:r>
        <w:rPr>
          <w:b/>
        </w:rPr>
        <w:t>hire an additional resource to provide technical analysis to the Division</w:t>
      </w:r>
      <w:r w:rsidRPr="00A42A93">
        <w:rPr>
          <w:b/>
        </w:rPr>
        <w:t xml:space="preserve">. </w:t>
      </w:r>
      <w:r w:rsidRPr="009A3E9D">
        <w:t>Recent modeling and research on air pollution episodes have pointed to ammonia as a larger contributor to the formation of PM2.5</w:t>
      </w:r>
      <w:r>
        <w:t xml:space="preserve"> </w:t>
      </w:r>
      <w:r w:rsidRPr="009A3E9D">
        <w:t>along the Wasatch Front than previously thought. However, scientists still need to identify possible sources of this pollutant. A new environmental scientist dedicated to identifying the numerous small sources that contribute to the state’s high ammonia levels will improve our understanding of current conditions, giving us the necessary data to create more effective and cost-conscious control strategies for </w:t>
      </w:r>
      <w:hyperlink r:id="rId12" w:history="1">
        <w:r w:rsidRPr="009A3E9D">
          <w:t>PM2.5</w:t>
        </w:r>
      </w:hyperlink>
      <w:r w:rsidRPr="009A3E9D">
        <w:t>.</w:t>
      </w:r>
    </w:p>
    <w:p w14:paraId="2400A75E" w14:textId="2C8A81EB" w:rsidR="00C44925" w:rsidRDefault="00C44925" w:rsidP="00C44925">
      <w:pPr>
        <w:pStyle w:val="Heading2"/>
      </w:pPr>
      <w:r>
        <w:t>Local Health Department Services: Increase for Environmental Services</w:t>
      </w:r>
    </w:p>
    <w:p w14:paraId="06346B2F" w14:textId="17A2349D" w:rsidR="00C44925" w:rsidRDefault="00020F4C" w:rsidP="001269A5">
      <w:r>
        <w:rPr>
          <w:b/>
        </w:rPr>
        <w:t>On behalf of Local Health Departments, t</w:t>
      </w:r>
      <w:r w:rsidR="00C44925">
        <w:rPr>
          <w:b/>
        </w:rPr>
        <w:t xml:space="preserve">he </w:t>
      </w:r>
      <w:r>
        <w:rPr>
          <w:b/>
        </w:rPr>
        <w:t>Department</w:t>
      </w:r>
      <w:r w:rsidR="00C44925">
        <w:rPr>
          <w:b/>
        </w:rPr>
        <w:t xml:space="preserve"> of Environmental </w:t>
      </w:r>
      <w:r>
        <w:rPr>
          <w:b/>
        </w:rPr>
        <w:t>Quality</w:t>
      </w:r>
      <w:r w:rsidR="00C44925">
        <w:rPr>
          <w:b/>
        </w:rPr>
        <w:t xml:space="preserve"> </w:t>
      </w:r>
      <w:r w:rsidR="00C44925" w:rsidRPr="00537431">
        <w:rPr>
          <w:b/>
        </w:rPr>
        <w:t>request</w:t>
      </w:r>
      <w:r w:rsidR="003F5AB2">
        <w:rPr>
          <w:b/>
        </w:rPr>
        <w:t>s</w:t>
      </w:r>
      <w:r w:rsidR="00C44925" w:rsidRPr="00537431">
        <w:rPr>
          <w:b/>
        </w:rPr>
        <w:t xml:space="preserve"> </w:t>
      </w:r>
      <w:r>
        <w:rPr>
          <w:b/>
          <w:u w:val="single"/>
        </w:rPr>
        <w:t>$500</w:t>
      </w:r>
      <w:r w:rsidR="00C44925" w:rsidRPr="001269A5">
        <w:rPr>
          <w:b/>
          <w:u w:val="single"/>
        </w:rPr>
        <w:t>,000</w:t>
      </w:r>
      <w:r w:rsidR="00C44925" w:rsidRPr="00537431">
        <w:rPr>
          <w:b/>
        </w:rPr>
        <w:t xml:space="preserve"> </w:t>
      </w:r>
      <w:r w:rsidR="00C44925">
        <w:rPr>
          <w:b/>
        </w:rPr>
        <w:t xml:space="preserve">in </w:t>
      </w:r>
      <w:r w:rsidR="00C44925" w:rsidRPr="001269A5">
        <w:rPr>
          <w:b/>
          <w:u w:val="single"/>
        </w:rPr>
        <w:t>ongoing</w:t>
      </w:r>
      <w:r w:rsidR="00C44925" w:rsidRPr="00537431">
        <w:rPr>
          <w:b/>
        </w:rPr>
        <w:t xml:space="preserve"> </w:t>
      </w:r>
      <w:r w:rsidR="00C44925">
        <w:rPr>
          <w:b/>
        </w:rPr>
        <w:t xml:space="preserve">funding from </w:t>
      </w:r>
      <w:r>
        <w:rPr>
          <w:b/>
        </w:rPr>
        <w:t xml:space="preserve">the </w:t>
      </w:r>
      <w:r>
        <w:rPr>
          <w:b/>
          <w:u w:val="single"/>
        </w:rPr>
        <w:t xml:space="preserve">General </w:t>
      </w:r>
      <w:r w:rsidR="00C44925" w:rsidRPr="008D0089">
        <w:rPr>
          <w:b/>
          <w:u w:val="single"/>
        </w:rPr>
        <w:t>Fund</w:t>
      </w:r>
      <w:r w:rsidR="00C44925">
        <w:t xml:space="preserve"> </w:t>
      </w:r>
      <w:r w:rsidR="00C44925" w:rsidRPr="001269A5">
        <w:t xml:space="preserve">to </w:t>
      </w:r>
      <w:r>
        <w:t>ensure that Local Health Departments can continue to provide some of the critical environmental services need</w:t>
      </w:r>
      <w:r w:rsidR="003F5AB2">
        <w:t>ed</w:t>
      </w:r>
      <w:r>
        <w:t xml:space="preserve"> by local communities; including review and approval of building permits, subdivision plats, wastewater disposal, septic systems, local air quality programs and other environmental services.  Increasing population growth and greater demand for local health department services has depleted previous funding.   </w:t>
      </w:r>
    </w:p>
    <w:p w14:paraId="6C416E87" w14:textId="27F96AA7" w:rsidR="00E75A4B" w:rsidRDefault="00C44925" w:rsidP="00DB1E38">
      <w:pPr>
        <w:pStyle w:val="Heading2"/>
      </w:pPr>
      <w:r>
        <w:t>Utah Mapping &amp; Information Partnership</w:t>
      </w:r>
    </w:p>
    <w:p w14:paraId="0D26A0AC" w14:textId="218384E7" w:rsidR="009A3E9D" w:rsidRPr="009A3E9D" w:rsidRDefault="008D0089" w:rsidP="009A3E9D">
      <w:pPr>
        <w:widowControl w:val="0"/>
        <w:autoSpaceDE w:val="0"/>
        <w:autoSpaceDN w:val="0"/>
        <w:adjustRightInd w:val="0"/>
        <w:spacing w:after="0" w:line="240" w:lineRule="auto"/>
        <w:rPr>
          <w:rFonts w:eastAsia="Times New Roman" w:cs="Times New Roman"/>
          <w:bCs/>
        </w:rPr>
      </w:pPr>
      <w:r>
        <w:rPr>
          <w:b/>
        </w:rPr>
        <w:t xml:space="preserve">The </w:t>
      </w:r>
      <w:r w:rsidR="009A3E9D">
        <w:rPr>
          <w:b/>
        </w:rPr>
        <w:t xml:space="preserve">Department of Environmental Quality is </w:t>
      </w:r>
      <w:r w:rsidR="00D57DCE">
        <w:rPr>
          <w:b/>
        </w:rPr>
        <w:t xml:space="preserve">requesting </w:t>
      </w:r>
      <w:r w:rsidR="00D57DCE" w:rsidRPr="00D57DCE">
        <w:rPr>
          <w:b/>
          <w:u w:val="single"/>
        </w:rPr>
        <w:t>$</w:t>
      </w:r>
      <w:r w:rsidR="009A3E9D">
        <w:rPr>
          <w:b/>
          <w:u w:val="single"/>
        </w:rPr>
        <w:t xml:space="preserve">195,600 </w:t>
      </w:r>
      <w:r w:rsidR="009A3E9D">
        <w:t xml:space="preserve"> </w:t>
      </w:r>
      <w:r w:rsidR="009A3E9D">
        <w:rPr>
          <w:b/>
        </w:rPr>
        <w:t xml:space="preserve">in </w:t>
      </w:r>
      <w:r w:rsidR="009A3E9D" w:rsidRPr="009A3E9D">
        <w:rPr>
          <w:b/>
          <w:u w:val="single"/>
        </w:rPr>
        <w:t>one-time supplemental</w:t>
      </w:r>
      <w:r w:rsidR="009A3E9D">
        <w:rPr>
          <w:b/>
          <w:u w:val="single"/>
        </w:rPr>
        <w:t xml:space="preserve"> </w:t>
      </w:r>
      <w:r w:rsidR="00D4654F">
        <w:rPr>
          <w:b/>
        </w:rPr>
        <w:t>funding</w:t>
      </w:r>
      <w:r>
        <w:rPr>
          <w:b/>
        </w:rPr>
        <w:t xml:space="preserve"> from the </w:t>
      </w:r>
      <w:r w:rsidR="009A3E9D">
        <w:rPr>
          <w:b/>
          <w:u w:val="single"/>
        </w:rPr>
        <w:t>General Fund</w:t>
      </w:r>
      <w:r w:rsidR="00D57DCE">
        <w:rPr>
          <w:b/>
        </w:rPr>
        <w:t xml:space="preserve"> </w:t>
      </w:r>
      <w:r w:rsidR="0092425B">
        <w:rPr>
          <w:b/>
        </w:rPr>
        <w:t>to</w:t>
      </w:r>
      <w:r>
        <w:rPr>
          <w:b/>
        </w:rPr>
        <w:t xml:space="preserve"> </w:t>
      </w:r>
      <w:r w:rsidR="009A3E9D">
        <w:rPr>
          <w:rFonts w:eastAsia="Times New Roman" w:cs="Times New Roman"/>
          <w:b/>
          <w:bCs/>
        </w:rPr>
        <w:t>complete the work previously funded by the legislature</w:t>
      </w:r>
      <w:r w:rsidR="009D06C9" w:rsidRPr="009D06C9">
        <w:rPr>
          <w:rFonts w:eastAsia="Times New Roman" w:cs="Times New Roman"/>
          <w:b/>
          <w:bCs/>
        </w:rPr>
        <w:t>.</w:t>
      </w:r>
      <w:r w:rsidR="00ED7EA6">
        <w:rPr>
          <w:rFonts w:eastAsia="Times New Roman" w:cs="Times New Roman"/>
          <w:bCs/>
        </w:rPr>
        <w:t xml:space="preserve"> </w:t>
      </w:r>
      <w:r w:rsidR="009A3E9D" w:rsidRPr="009A3E9D">
        <w:rPr>
          <w:rFonts w:eastAsia="Times New Roman" w:cs="Times New Roman"/>
          <w:bCs/>
        </w:rPr>
        <w:t>Utah Mapping &amp; Information Partnership (UMIP) is a collaborative project between 14 state</w:t>
      </w:r>
      <w:r w:rsidR="009A3E9D">
        <w:rPr>
          <w:rFonts w:eastAsia="Times New Roman" w:cs="Times New Roman"/>
          <w:bCs/>
        </w:rPr>
        <w:t xml:space="preserve"> </w:t>
      </w:r>
      <w:r w:rsidR="009A3E9D" w:rsidRPr="009A3E9D">
        <w:rPr>
          <w:rFonts w:eastAsia="Times New Roman" w:cs="Times New Roman"/>
          <w:bCs/>
        </w:rPr>
        <w:t>agencies, local governments, and other public-sector partners to provide:</w:t>
      </w:r>
    </w:p>
    <w:p w14:paraId="1DEEA93F" w14:textId="383FEC18" w:rsidR="009A3E9D" w:rsidRPr="00171CAB" w:rsidRDefault="009A3E9D" w:rsidP="00171CAB">
      <w:pPr>
        <w:pStyle w:val="ListParagraph"/>
        <w:widowControl w:val="0"/>
        <w:numPr>
          <w:ilvl w:val="0"/>
          <w:numId w:val="5"/>
        </w:numPr>
        <w:autoSpaceDE w:val="0"/>
        <w:autoSpaceDN w:val="0"/>
        <w:adjustRightInd w:val="0"/>
        <w:spacing w:after="0" w:line="240" w:lineRule="auto"/>
        <w:rPr>
          <w:rFonts w:eastAsia="Times New Roman" w:cs="Times New Roman"/>
          <w:bCs/>
        </w:rPr>
      </w:pPr>
      <w:r w:rsidRPr="00171CAB">
        <w:rPr>
          <w:rFonts w:eastAsia="Times New Roman" w:cs="Times New Roman"/>
          <w:bCs/>
        </w:rPr>
        <w:t>High-resolution statewide mapping imagery</w:t>
      </w:r>
    </w:p>
    <w:p w14:paraId="43C5381D" w14:textId="116DB185" w:rsidR="009D06C9" w:rsidRPr="00171CAB" w:rsidRDefault="009A3E9D" w:rsidP="00171CAB">
      <w:pPr>
        <w:pStyle w:val="ListParagraph"/>
        <w:widowControl w:val="0"/>
        <w:numPr>
          <w:ilvl w:val="0"/>
          <w:numId w:val="5"/>
        </w:numPr>
        <w:autoSpaceDE w:val="0"/>
        <w:autoSpaceDN w:val="0"/>
        <w:adjustRightInd w:val="0"/>
        <w:spacing w:after="0" w:line="240" w:lineRule="auto"/>
        <w:rPr>
          <w:rFonts w:eastAsia="Times New Roman" w:cs="Times New Roman"/>
          <w:bCs/>
        </w:rPr>
      </w:pPr>
      <w:r w:rsidRPr="00171CAB">
        <w:rPr>
          <w:rFonts w:eastAsia="Times New Roman" w:cs="Times New Roman"/>
          <w:bCs/>
        </w:rPr>
        <w:t>Information s</w:t>
      </w:r>
      <w:bookmarkStart w:id="0" w:name="_GoBack"/>
      <w:bookmarkEnd w:id="0"/>
      <w:r w:rsidRPr="00171CAB">
        <w:rPr>
          <w:rFonts w:eastAsia="Times New Roman" w:cs="Times New Roman"/>
          <w:bCs/>
        </w:rPr>
        <w:t>haring where data from UMIP partners can be viewed as layers in a single,</w:t>
      </w:r>
      <w:r w:rsidR="00171CAB" w:rsidRPr="00171CAB">
        <w:rPr>
          <w:rFonts w:eastAsia="Times New Roman" w:cs="Times New Roman"/>
          <w:bCs/>
        </w:rPr>
        <w:t xml:space="preserve"> </w:t>
      </w:r>
      <w:r w:rsidRPr="00171CAB">
        <w:rPr>
          <w:rFonts w:eastAsia="Times New Roman" w:cs="Times New Roman"/>
          <w:bCs/>
        </w:rPr>
        <w:t>map-based system to support improved management, communication, and decision making</w:t>
      </w:r>
    </w:p>
    <w:p w14:paraId="3060C2A1" w14:textId="77777777" w:rsidR="009A3E9D" w:rsidRPr="00ED7EA6" w:rsidRDefault="009A3E9D" w:rsidP="009A3E9D">
      <w:pPr>
        <w:widowControl w:val="0"/>
        <w:autoSpaceDE w:val="0"/>
        <w:autoSpaceDN w:val="0"/>
        <w:adjustRightInd w:val="0"/>
        <w:spacing w:after="0" w:line="240" w:lineRule="auto"/>
        <w:rPr>
          <w:rFonts w:eastAsia="Times New Roman" w:cs="Times New Roman"/>
          <w:bCs/>
        </w:rPr>
      </w:pPr>
    </w:p>
    <w:p w14:paraId="17E2E06F" w14:textId="3FDEC433" w:rsidR="002921D1" w:rsidRDefault="00171CAB" w:rsidP="00B47D89">
      <w:pPr>
        <w:rPr>
          <w:rFonts w:eastAsia="Times New Roman" w:cs="Times New Roman"/>
          <w:bCs/>
        </w:rPr>
      </w:pPr>
      <w:r>
        <w:rPr>
          <w:rFonts w:eastAsia="Times New Roman" w:cs="Times New Roman"/>
          <w:bCs/>
        </w:rPr>
        <w:t>This 3-year effort was previo</w:t>
      </w:r>
      <w:r w:rsidR="00FF7F39">
        <w:rPr>
          <w:rFonts w:eastAsia="Times New Roman" w:cs="Times New Roman"/>
          <w:bCs/>
        </w:rPr>
        <w:t xml:space="preserve">usly funded by the legislature, however, non-lapsing authority for the initiative was inadvertently dropped last legislative session. </w:t>
      </w:r>
      <w:r>
        <w:rPr>
          <w:rFonts w:eastAsia="Times New Roman" w:cs="Times New Roman"/>
          <w:bCs/>
        </w:rPr>
        <w:t xml:space="preserve">This request </w:t>
      </w:r>
      <w:r w:rsidR="00FF7F39">
        <w:rPr>
          <w:rFonts w:eastAsia="Times New Roman" w:cs="Times New Roman"/>
          <w:bCs/>
        </w:rPr>
        <w:t>will</w:t>
      </w:r>
      <w:r>
        <w:rPr>
          <w:rFonts w:eastAsia="Times New Roman" w:cs="Times New Roman"/>
          <w:bCs/>
        </w:rPr>
        <w:t xml:space="preserve"> restore the </w:t>
      </w:r>
      <w:r w:rsidR="00FF7F39">
        <w:rPr>
          <w:rFonts w:eastAsia="Times New Roman" w:cs="Times New Roman"/>
          <w:bCs/>
        </w:rPr>
        <w:t xml:space="preserve">funding needed to complete the effort. </w:t>
      </w:r>
    </w:p>
    <w:p w14:paraId="57E7F1F1" w14:textId="4CF48345" w:rsidR="00FF7F39" w:rsidRDefault="00FF7F39" w:rsidP="00FF7F39">
      <w:pPr>
        <w:pStyle w:val="Heading2"/>
      </w:pPr>
      <w:r>
        <w:t>Federal Funds &amp; Dedicated Credits</w:t>
      </w:r>
    </w:p>
    <w:p w14:paraId="03AB2646" w14:textId="6578268C" w:rsidR="00FF7F39" w:rsidRPr="00D53E05" w:rsidRDefault="00FF7F39" w:rsidP="00D53E05">
      <w:pPr>
        <w:widowControl w:val="0"/>
        <w:autoSpaceDE w:val="0"/>
        <w:autoSpaceDN w:val="0"/>
        <w:adjustRightInd w:val="0"/>
        <w:spacing w:after="0" w:line="240" w:lineRule="auto"/>
        <w:rPr>
          <w:rFonts w:eastAsia="Times New Roman" w:cs="Times New Roman"/>
          <w:bCs/>
        </w:rPr>
      </w:pPr>
      <w:r w:rsidRPr="00FF7F39">
        <w:t xml:space="preserve">The Department of Environmental Quality has other requests for authority to collect and spend from federal </w:t>
      </w:r>
      <w:r>
        <w:t xml:space="preserve">funds </w:t>
      </w:r>
      <w:r w:rsidRPr="00FF7F39">
        <w:t xml:space="preserve">and dedicated credits resulting from changes in our fee schedule and estimated changes in federal grants. </w:t>
      </w:r>
    </w:p>
    <w:sectPr w:rsidR="00FF7F39" w:rsidRPr="00D53E05" w:rsidSect="002668F3">
      <w:headerReference w:type="default" r:id="rId13"/>
      <w:footerReference w:type="default" r:id="rId14"/>
      <w:pgSz w:w="12240" w:h="15840"/>
      <w:pgMar w:top="990" w:right="900" w:bottom="1440" w:left="99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3D793" w14:textId="77777777" w:rsidR="005950A8" w:rsidRDefault="005950A8" w:rsidP="00220E23">
      <w:pPr>
        <w:spacing w:after="0" w:line="240" w:lineRule="auto"/>
      </w:pPr>
      <w:r>
        <w:separator/>
      </w:r>
    </w:p>
  </w:endnote>
  <w:endnote w:type="continuationSeparator" w:id="0">
    <w:p w14:paraId="500945DA" w14:textId="77777777" w:rsidR="005950A8" w:rsidRDefault="005950A8" w:rsidP="0022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7786D" w14:textId="43178244" w:rsidR="005950A8" w:rsidRDefault="005950A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Utah Department of Environmental Quality</w:t>
    </w:r>
    <w:r>
      <w:rPr>
        <w:rFonts w:asciiTheme="majorHAnsi" w:eastAsiaTheme="majorEastAsia" w:hAnsiTheme="majorHAnsi" w:cstheme="majorBidi"/>
      </w:rPr>
      <w:tab/>
      <w:t xml:space="preserve">                                                                                                                        2018</w:t>
    </w:r>
  </w:p>
  <w:p w14:paraId="6253E448" w14:textId="77777777" w:rsidR="005950A8" w:rsidRDefault="005950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99890" w14:textId="77777777" w:rsidR="005950A8" w:rsidRDefault="005950A8" w:rsidP="00220E23">
      <w:pPr>
        <w:spacing w:after="0" w:line="240" w:lineRule="auto"/>
      </w:pPr>
      <w:r>
        <w:separator/>
      </w:r>
    </w:p>
  </w:footnote>
  <w:footnote w:type="continuationSeparator" w:id="0">
    <w:p w14:paraId="7E8A7320" w14:textId="77777777" w:rsidR="005950A8" w:rsidRDefault="005950A8" w:rsidP="00220E2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917908253"/>
      <w:docPartObj>
        <w:docPartGallery w:val="Page Numbers (Top of Page)"/>
        <w:docPartUnique/>
      </w:docPartObj>
    </w:sdtPr>
    <w:sdtEndPr>
      <w:rPr>
        <w:b/>
        <w:bCs/>
        <w:noProof/>
        <w:color w:val="auto"/>
        <w:spacing w:val="0"/>
      </w:rPr>
    </w:sdtEndPr>
    <w:sdtContent>
      <w:p w14:paraId="3177B70D" w14:textId="3AA42B55" w:rsidR="005950A8" w:rsidRPr="00FC0E7F" w:rsidRDefault="005950A8" w:rsidP="00FC0E7F">
        <w:pPr>
          <w:pStyle w:val="Header"/>
          <w:pBdr>
            <w:bottom w:val="single" w:sz="4" w:space="1" w:color="D9D9D9" w:themeColor="background1" w:themeShade="D9"/>
          </w:pBdr>
          <w:rPr>
            <w:b/>
            <w:bCs/>
          </w:rPr>
        </w:pPr>
        <w:r w:rsidRPr="00C707AF">
          <w:rPr>
            <w:color w:val="808080" w:themeColor="background1" w:themeShade="80"/>
            <w:spacing w:val="60"/>
          </w:rPr>
          <w:t>Page</w:t>
        </w:r>
        <w:r w:rsidRPr="00C707AF">
          <w:t xml:space="preserve"> | </w:t>
        </w:r>
        <w:r w:rsidRPr="00C707AF">
          <w:fldChar w:fldCharType="begin"/>
        </w:r>
        <w:r w:rsidRPr="00C707AF">
          <w:instrText xml:space="preserve"> PAGE   \* MERGEFORMAT </w:instrText>
        </w:r>
        <w:r w:rsidRPr="00C707AF">
          <w:fldChar w:fldCharType="separate"/>
        </w:r>
        <w:r w:rsidR="003F5AB2" w:rsidRPr="003F5AB2">
          <w:rPr>
            <w:b/>
            <w:bCs/>
            <w:noProof/>
          </w:rPr>
          <w:t>1</w:t>
        </w:r>
        <w:r w:rsidRPr="00C707AF">
          <w:rPr>
            <w:b/>
            <w:bCs/>
            <w:noProof/>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51E0"/>
    <w:multiLevelType w:val="hybridMultilevel"/>
    <w:tmpl w:val="8120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C3AFB"/>
    <w:multiLevelType w:val="multilevel"/>
    <w:tmpl w:val="C488082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71F64"/>
    <w:multiLevelType w:val="hybridMultilevel"/>
    <w:tmpl w:val="D63E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373DA3"/>
    <w:multiLevelType w:val="hybridMultilevel"/>
    <w:tmpl w:val="59160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1D2378"/>
    <w:multiLevelType w:val="hybridMultilevel"/>
    <w:tmpl w:val="1136BC0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2C"/>
    <w:rsid w:val="00020F4C"/>
    <w:rsid w:val="000619AA"/>
    <w:rsid w:val="000632F6"/>
    <w:rsid w:val="000D040F"/>
    <w:rsid w:val="001269A5"/>
    <w:rsid w:val="00171CAB"/>
    <w:rsid w:val="001731FC"/>
    <w:rsid w:val="00173DD3"/>
    <w:rsid w:val="00195016"/>
    <w:rsid w:val="001B284F"/>
    <w:rsid w:val="00220E23"/>
    <w:rsid w:val="00230C2C"/>
    <w:rsid w:val="002577A3"/>
    <w:rsid w:val="002668F3"/>
    <w:rsid w:val="00286258"/>
    <w:rsid w:val="002921D1"/>
    <w:rsid w:val="00295056"/>
    <w:rsid w:val="002D4D94"/>
    <w:rsid w:val="00303DC5"/>
    <w:rsid w:val="003137AA"/>
    <w:rsid w:val="003A7F28"/>
    <w:rsid w:val="003C221A"/>
    <w:rsid w:val="003F5AB2"/>
    <w:rsid w:val="00416694"/>
    <w:rsid w:val="00453E87"/>
    <w:rsid w:val="004A3DF0"/>
    <w:rsid w:val="004C07EE"/>
    <w:rsid w:val="004C6F25"/>
    <w:rsid w:val="004E14FF"/>
    <w:rsid w:val="00537431"/>
    <w:rsid w:val="005950A8"/>
    <w:rsid w:val="005B5335"/>
    <w:rsid w:val="005C4014"/>
    <w:rsid w:val="0065574E"/>
    <w:rsid w:val="006D1223"/>
    <w:rsid w:val="00750E9D"/>
    <w:rsid w:val="007900BC"/>
    <w:rsid w:val="007D5261"/>
    <w:rsid w:val="00847D93"/>
    <w:rsid w:val="00894A96"/>
    <w:rsid w:val="008A5907"/>
    <w:rsid w:val="008D0089"/>
    <w:rsid w:val="009160DE"/>
    <w:rsid w:val="0092425B"/>
    <w:rsid w:val="0097231B"/>
    <w:rsid w:val="009A3E9D"/>
    <w:rsid w:val="009D06C9"/>
    <w:rsid w:val="009F0C04"/>
    <w:rsid w:val="00A065BC"/>
    <w:rsid w:val="00A42A93"/>
    <w:rsid w:val="00A44216"/>
    <w:rsid w:val="00AB277B"/>
    <w:rsid w:val="00AC79D6"/>
    <w:rsid w:val="00B034BB"/>
    <w:rsid w:val="00B47D89"/>
    <w:rsid w:val="00B816CD"/>
    <w:rsid w:val="00BB603D"/>
    <w:rsid w:val="00BF0C34"/>
    <w:rsid w:val="00C25DB7"/>
    <w:rsid w:val="00C44925"/>
    <w:rsid w:val="00C707AF"/>
    <w:rsid w:val="00CC0494"/>
    <w:rsid w:val="00CD2E1A"/>
    <w:rsid w:val="00CF0278"/>
    <w:rsid w:val="00D441D9"/>
    <w:rsid w:val="00D44B26"/>
    <w:rsid w:val="00D4654F"/>
    <w:rsid w:val="00D53E05"/>
    <w:rsid w:val="00D571C5"/>
    <w:rsid w:val="00D57DCE"/>
    <w:rsid w:val="00DB1E38"/>
    <w:rsid w:val="00DC616E"/>
    <w:rsid w:val="00E1467B"/>
    <w:rsid w:val="00E35FFC"/>
    <w:rsid w:val="00E75A4B"/>
    <w:rsid w:val="00EA1C7B"/>
    <w:rsid w:val="00EC4894"/>
    <w:rsid w:val="00EC5B55"/>
    <w:rsid w:val="00ED7EA6"/>
    <w:rsid w:val="00FC0E7F"/>
    <w:rsid w:val="00FC5955"/>
    <w:rsid w:val="00FE5C2F"/>
    <w:rsid w:val="00FF0501"/>
    <w:rsid w:val="00FF7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DC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862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0C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0C2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30C2C"/>
    <w:pPr>
      <w:ind w:left="720"/>
      <w:contextualSpacing/>
    </w:pPr>
  </w:style>
  <w:style w:type="character" w:customStyle="1" w:styleId="Heading2Char">
    <w:name w:val="Heading 2 Char"/>
    <w:basedOn w:val="DefaultParagraphFont"/>
    <w:link w:val="Heading2"/>
    <w:uiPriority w:val="9"/>
    <w:rsid w:val="0028625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20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E23"/>
  </w:style>
  <w:style w:type="paragraph" w:styleId="Footer">
    <w:name w:val="footer"/>
    <w:basedOn w:val="Normal"/>
    <w:link w:val="FooterChar"/>
    <w:uiPriority w:val="99"/>
    <w:unhideWhenUsed/>
    <w:rsid w:val="00220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E23"/>
  </w:style>
  <w:style w:type="paragraph" w:styleId="BalloonText">
    <w:name w:val="Balloon Text"/>
    <w:basedOn w:val="Normal"/>
    <w:link w:val="BalloonTextChar"/>
    <w:uiPriority w:val="99"/>
    <w:semiHidden/>
    <w:unhideWhenUsed/>
    <w:rsid w:val="00220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E23"/>
    <w:rPr>
      <w:rFonts w:ascii="Tahoma" w:hAnsi="Tahoma" w:cs="Tahoma"/>
      <w:sz w:val="16"/>
      <w:szCs w:val="16"/>
    </w:rPr>
  </w:style>
  <w:style w:type="table" w:styleId="TableGrid">
    <w:name w:val="Table Grid"/>
    <w:basedOn w:val="TableNormal"/>
    <w:uiPriority w:val="59"/>
    <w:rsid w:val="00D44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20F4C"/>
    <w:pPr>
      <w:spacing w:before="100" w:beforeAutospacing="1" w:after="100" w:afterAutospacing="1" w:line="240" w:lineRule="auto"/>
    </w:pPr>
    <w:rPr>
      <w:rFonts w:ascii="Times New Roman" w:hAnsi="Times New Roman" w:cs="Times New Roman"/>
      <w:sz w:val="20"/>
      <w:szCs w:val="20"/>
    </w:rPr>
  </w:style>
  <w:style w:type="character" w:styleId="Hyperlink">
    <w:name w:val="Hyperlink"/>
    <w:basedOn w:val="DefaultParagraphFont"/>
    <w:uiPriority w:val="99"/>
    <w:semiHidden/>
    <w:unhideWhenUsed/>
    <w:rsid w:val="00020F4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862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0C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0C2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30C2C"/>
    <w:pPr>
      <w:ind w:left="720"/>
      <w:contextualSpacing/>
    </w:pPr>
  </w:style>
  <w:style w:type="character" w:customStyle="1" w:styleId="Heading2Char">
    <w:name w:val="Heading 2 Char"/>
    <w:basedOn w:val="DefaultParagraphFont"/>
    <w:link w:val="Heading2"/>
    <w:uiPriority w:val="9"/>
    <w:rsid w:val="0028625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20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E23"/>
  </w:style>
  <w:style w:type="paragraph" w:styleId="Footer">
    <w:name w:val="footer"/>
    <w:basedOn w:val="Normal"/>
    <w:link w:val="FooterChar"/>
    <w:uiPriority w:val="99"/>
    <w:unhideWhenUsed/>
    <w:rsid w:val="00220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E23"/>
  </w:style>
  <w:style w:type="paragraph" w:styleId="BalloonText">
    <w:name w:val="Balloon Text"/>
    <w:basedOn w:val="Normal"/>
    <w:link w:val="BalloonTextChar"/>
    <w:uiPriority w:val="99"/>
    <w:semiHidden/>
    <w:unhideWhenUsed/>
    <w:rsid w:val="00220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E23"/>
    <w:rPr>
      <w:rFonts w:ascii="Tahoma" w:hAnsi="Tahoma" w:cs="Tahoma"/>
      <w:sz w:val="16"/>
      <w:szCs w:val="16"/>
    </w:rPr>
  </w:style>
  <w:style w:type="table" w:styleId="TableGrid">
    <w:name w:val="Table Grid"/>
    <w:basedOn w:val="TableNormal"/>
    <w:uiPriority w:val="59"/>
    <w:rsid w:val="00D44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20F4C"/>
    <w:pPr>
      <w:spacing w:before="100" w:beforeAutospacing="1" w:after="100" w:afterAutospacing="1" w:line="240" w:lineRule="auto"/>
    </w:pPr>
    <w:rPr>
      <w:rFonts w:ascii="Times New Roman" w:hAnsi="Times New Roman" w:cs="Times New Roman"/>
      <w:sz w:val="20"/>
      <w:szCs w:val="20"/>
    </w:rPr>
  </w:style>
  <w:style w:type="character" w:styleId="Hyperlink">
    <w:name w:val="Hyperlink"/>
    <w:basedOn w:val="DefaultParagraphFont"/>
    <w:uiPriority w:val="99"/>
    <w:semiHidden/>
    <w:unhideWhenUsed/>
    <w:rsid w:val="00020F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5313">
      <w:bodyDiv w:val="1"/>
      <w:marLeft w:val="0"/>
      <w:marRight w:val="0"/>
      <w:marTop w:val="0"/>
      <w:marBottom w:val="0"/>
      <w:divBdr>
        <w:top w:val="none" w:sz="0" w:space="0" w:color="auto"/>
        <w:left w:val="none" w:sz="0" w:space="0" w:color="auto"/>
        <w:bottom w:val="none" w:sz="0" w:space="0" w:color="auto"/>
        <w:right w:val="none" w:sz="0" w:space="0" w:color="auto"/>
      </w:divBdr>
    </w:div>
    <w:div w:id="614365049">
      <w:bodyDiv w:val="1"/>
      <w:marLeft w:val="0"/>
      <w:marRight w:val="0"/>
      <w:marTop w:val="0"/>
      <w:marBottom w:val="0"/>
      <w:divBdr>
        <w:top w:val="none" w:sz="0" w:space="0" w:color="auto"/>
        <w:left w:val="none" w:sz="0" w:space="0" w:color="auto"/>
        <w:bottom w:val="none" w:sz="0" w:space="0" w:color="auto"/>
        <w:right w:val="none" w:sz="0" w:space="0" w:color="auto"/>
      </w:divBdr>
    </w:div>
    <w:div w:id="834151756">
      <w:bodyDiv w:val="1"/>
      <w:marLeft w:val="0"/>
      <w:marRight w:val="0"/>
      <w:marTop w:val="0"/>
      <w:marBottom w:val="0"/>
      <w:divBdr>
        <w:top w:val="none" w:sz="0" w:space="0" w:color="auto"/>
        <w:left w:val="none" w:sz="0" w:space="0" w:color="auto"/>
        <w:bottom w:val="none" w:sz="0" w:space="0" w:color="auto"/>
        <w:right w:val="none" w:sz="0" w:space="0" w:color="auto"/>
      </w:divBdr>
    </w:div>
    <w:div w:id="1205942875">
      <w:bodyDiv w:val="1"/>
      <w:marLeft w:val="0"/>
      <w:marRight w:val="0"/>
      <w:marTop w:val="0"/>
      <w:marBottom w:val="0"/>
      <w:divBdr>
        <w:top w:val="none" w:sz="0" w:space="0" w:color="auto"/>
        <w:left w:val="none" w:sz="0" w:space="0" w:color="auto"/>
        <w:bottom w:val="none" w:sz="0" w:space="0" w:color="auto"/>
        <w:right w:val="none" w:sz="0" w:space="0" w:color="auto"/>
      </w:divBdr>
    </w:div>
    <w:div w:id="1614895225">
      <w:bodyDiv w:val="1"/>
      <w:marLeft w:val="0"/>
      <w:marRight w:val="0"/>
      <w:marTop w:val="0"/>
      <w:marBottom w:val="0"/>
      <w:divBdr>
        <w:top w:val="none" w:sz="0" w:space="0" w:color="auto"/>
        <w:left w:val="none" w:sz="0" w:space="0" w:color="auto"/>
        <w:bottom w:val="none" w:sz="0" w:space="0" w:color="auto"/>
        <w:right w:val="none" w:sz="0" w:space="0" w:color="auto"/>
      </w:divBdr>
    </w:div>
    <w:div w:id="177648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eq.utah.gov/Laws_Rules/daq/sip/" TargetMode="External"/><Relationship Id="rId12" Type="http://schemas.openxmlformats.org/officeDocument/2006/relationships/hyperlink" Target="https://deq.utah.gov/Pollutants/P/pm/pm25/"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www.epa.gov/compliance/clean-air-act-national-stack-test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A3AE3-A902-5648-88D0-00FDC51E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1009</Words>
  <Characters>5755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Barickman</dc:creator>
  <cp:lastModifiedBy>Scott Baird</cp:lastModifiedBy>
  <cp:revision>7</cp:revision>
  <cp:lastPrinted>2018-01-30T20:58:00Z</cp:lastPrinted>
  <dcterms:created xsi:type="dcterms:W3CDTF">2018-01-30T21:22:00Z</dcterms:created>
  <dcterms:modified xsi:type="dcterms:W3CDTF">2018-01-30T22:37:00Z</dcterms:modified>
</cp:coreProperties>
</file>